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4B7" w:rsidRPr="007E54B7" w:rsidRDefault="007E54B7" w:rsidP="007E54B7">
      <w:pPr>
        <w:spacing w:line="240" w:lineRule="auto"/>
        <w:rPr>
          <w:rFonts w:ascii="Tahoma" w:hAnsi="Tahoma" w:cs="Tahoma"/>
          <w:b/>
          <w:sz w:val="20"/>
          <w:szCs w:val="20"/>
        </w:rPr>
      </w:pPr>
    </w:p>
    <w:p w:rsidR="007E54B7" w:rsidRPr="00281177" w:rsidRDefault="007E54B7" w:rsidP="00281177">
      <w:pPr>
        <w:pStyle w:val="Textoindependiente"/>
        <w:widowControl w:val="0"/>
        <w:tabs>
          <w:tab w:val="left" w:pos="2410"/>
          <w:tab w:val="left" w:pos="2977"/>
          <w:tab w:val="left" w:pos="3686"/>
          <w:tab w:val="left" w:pos="5670"/>
          <w:tab w:val="left" w:pos="5954"/>
          <w:tab w:val="left" w:pos="6946"/>
        </w:tabs>
        <w:suppressAutoHyphens/>
        <w:spacing w:after="0" w:line="240" w:lineRule="auto"/>
        <w:ind w:left="2977" w:right="2267" w:hanging="992"/>
        <w:jc w:val="both"/>
        <w:rPr>
          <w:rFonts w:ascii="Tahoma" w:hAnsi="Tahoma" w:cs="Tahoma"/>
          <w:i/>
          <w:sz w:val="20"/>
          <w:szCs w:val="20"/>
          <w:lang w:val="es-PE"/>
        </w:rPr>
      </w:pPr>
      <w:r w:rsidRPr="007E54B7">
        <w:rPr>
          <w:rFonts w:ascii="Tahoma" w:hAnsi="Tahoma" w:cs="Tahoma"/>
          <w:b/>
          <w:i/>
          <w:sz w:val="20"/>
          <w:szCs w:val="20"/>
        </w:rPr>
        <w:t xml:space="preserve">Sumilla:  </w:t>
      </w:r>
      <w:r w:rsidR="00281177" w:rsidRPr="00281177">
        <w:rPr>
          <w:rFonts w:ascii="Tahoma" w:hAnsi="Tahoma" w:cs="Tahoma"/>
          <w:i/>
          <w:sz w:val="20"/>
          <w:szCs w:val="20"/>
        </w:rPr>
        <w:t>El procedimiento para suscribir el contrato ha sido previsto en el numeral 1) del artículo 203 del Reglamento, el cual dispone que dentro de los dos días hábiles siguientes al consentimiento de la buena pro, la Entidad deberá citar al postor ganador, otorgándole un plazo mínimo de cinco días hábiles y máximo de diez días hábiles para suscribir el contrato</w:t>
      </w:r>
      <w:r w:rsidRPr="00281177">
        <w:rPr>
          <w:rFonts w:ascii="Tahoma" w:hAnsi="Tahoma" w:cs="Tahoma"/>
          <w:i/>
          <w:sz w:val="20"/>
          <w:szCs w:val="20"/>
        </w:rPr>
        <w:t>.</w:t>
      </w:r>
    </w:p>
    <w:p w:rsidR="007E54B7" w:rsidRPr="007E54B7" w:rsidRDefault="007E54B7" w:rsidP="007E54B7">
      <w:pPr>
        <w:pStyle w:val="Textoindependiente3"/>
        <w:spacing w:after="0"/>
        <w:ind w:left="4248" w:right="179" w:firstLine="708"/>
        <w:jc w:val="both"/>
        <w:rPr>
          <w:rFonts w:ascii="Tahoma" w:hAnsi="Tahoma" w:cs="Tahoma"/>
          <w:b/>
          <w:sz w:val="20"/>
          <w:szCs w:val="20"/>
        </w:rPr>
      </w:pPr>
    </w:p>
    <w:p w:rsidR="007E54B7" w:rsidRPr="007E54B7" w:rsidRDefault="007E54B7" w:rsidP="007E54B7">
      <w:pPr>
        <w:pStyle w:val="Textoindependiente3"/>
        <w:spacing w:after="0"/>
        <w:ind w:left="4248" w:right="179" w:firstLine="708"/>
        <w:jc w:val="both"/>
        <w:rPr>
          <w:rFonts w:ascii="Tahoma" w:hAnsi="Tahoma" w:cs="Tahoma"/>
          <w:sz w:val="20"/>
          <w:szCs w:val="20"/>
        </w:rPr>
      </w:pPr>
      <w:r w:rsidRPr="007E54B7">
        <w:rPr>
          <w:rFonts w:ascii="Tahoma" w:hAnsi="Tahoma" w:cs="Tahoma"/>
          <w:b/>
          <w:sz w:val="20"/>
          <w:szCs w:val="20"/>
        </w:rPr>
        <w:t>Lima</w:t>
      </w:r>
      <w:r w:rsidRPr="007E54B7">
        <w:rPr>
          <w:rFonts w:ascii="Tahoma" w:hAnsi="Tahoma" w:cs="Tahoma"/>
          <w:sz w:val="20"/>
          <w:szCs w:val="20"/>
        </w:rPr>
        <w:t xml:space="preserve">, </w:t>
      </w:r>
      <w:r w:rsidR="005247C6">
        <w:rPr>
          <w:rFonts w:ascii="Tahoma" w:hAnsi="Tahoma" w:cs="Tahoma"/>
          <w:sz w:val="20"/>
          <w:szCs w:val="20"/>
        </w:rPr>
        <w:t>29 de Abril de 2011</w:t>
      </w:r>
    </w:p>
    <w:p w:rsidR="007E54B7" w:rsidRPr="007E54B7" w:rsidRDefault="007E54B7" w:rsidP="007E54B7">
      <w:pPr>
        <w:pStyle w:val="Textoindependiente3"/>
        <w:spacing w:after="0"/>
        <w:jc w:val="both"/>
        <w:rPr>
          <w:rFonts w:ascii="Tahoma" w:hAnsi="Tahoma" w:cs="Tahoma"/>
          <w:sz w:val="20"/>
          <w:szCs w:val="20"/>
        </w:rPr>
      </w:pPr>
    </w:p>
    <w:p w:rsidR="007E54B7" w:rsidRPr="007E54B7" w:rsidRDefault="007E54B7" w:rsidP="007E54B7">
      <w:pPr>
        <w:spacing w:after="0" w:line="240" w:lineRule="auto"/>
        <w:jc w:val="both"/>
        <w:rPr>
          <w:rFonts w:ascii="Tahoma" w:hAnsi="Tahoma" w:cs="Tahoma"/>
          <w:sz w:val="20"/>
          <w:szCs w:val="20"/>
        </w:rPr>
      </w:pPr>
      <w:r w:rsidRPr="007E54B7">
        <w:rPr>
          <w:rFonts w:ascii="Tahoma" w:hAnsi="Tahoma" w:cs="Tahoma"/>
          <w:b/>
          <w:sz w:val="20"/>
          <w:szCs w:val="20"/>
        </w:rPr>
        <w:t>VISTO</w:t>
      </w:r>
      <w:r w:rsidRPr="007E54B7">
        <w:rPr>
          <w:rFonts w:ascii="Tahoma" w:hAnsi="Tahoma" w:cs="Tahoma"/>
          <w:sz w:val="20"/>
          <w:szCs w:val="20"/>
        </w:rPr>
        <w:t xml:space="preserve"> en sesión de fecha 28</w:t>
      </w:r>
      <w:r w:rsidR="00015697">
        <w:rPr>
          <w:rFonts w:ascii="Tahoma" w:hAnsi="Tahoma" w:cs="Tahoma"/>
          <w:sz w:val="20"/>
          <w:szCs w:val="20"/>
        </w:rPr>
        <w:t xml:space="preserve"> de abril</w:t>
      </w:r>
      <w:r w:rsidRPr="007E54B7">
        <w:rPr>
          <w:rFonts w:ascii="Tahoma" w:hAnsi="Tahoma" w:cs="Tahoma"/>
          <w:sz w:val="20"/>
          <w:szCs w:val="20"/>
        </w:rPr>
        <w:t xml:space="preserve"> de 2011 de la Primera Sala del Tribunal de Contrataciones del Estado el Expediente № </w:t>
      </w:r>
      <w:r w:rsidR="00015697">
        <w:rPr>
          <w:rFonts w:ascii="Tahoma" w:hAnsi="Tahoma" w:cs="Tahoma"/>
          <w:sz w:val="20"/>
          <w:szCs w:val="20"/>
        </w:rPr>
        <w:t>2719</w:t>
      </w:r>
      <w:r w:rsidRPr="007E54B7">
        <w:rPr>
          <w:rFonts w:ascii="Tahoma" w:hAnsi="Tahoma" w:cs="Tahoma"/>
          <w:sz w:val="20"/>
          <w:szCs w:val="20"/>
        </w:rPr>
        <w:t>/20</w:t>
      </w:r>
      <w:r w:rsidR="00015697">
        <w:rPr>
          <w:rFonts w:ascii="Tahoma" w:hAnsi="Tahoma" w:cs="Tahoma"/>
          <w:sz w:val="20"/>
          <w:szCs w:val="20"/>
        </w:rPr>
        <w:t>08</w:t>
      </w:r>
      <w:r w:rsidRPr="007E54B7">
        <w:rPr>
          <w:rFonts w:ascii="Tahoma" w:hAnsi="Tahoma" w:cs="Tahoma"/>
          <w:sz w:val="20"/>
          <w:szCs w:val="20"/>
        </w:rPr>
        <w:t xml:space="preserve">.TC, sobre el procedimiento administrativo sancionador contra </w:t>
      </w:r>
      <w:r w:rsidR="00C779B6" w:rsidRPr="007E54B7">
        <w:rPr>
          <w:rFonts w:ascii="Tahoma" w:hAnsi="Tahoma" w:cs="Tahoma"/>
          <w:sz w:val="20"/>
        </w:rPr>
        <w:t xml:space="preserve">el Consorcio Azángaro, conformado por </w:t>
      </w:r>
      <w:r w:rsidR="006A6615">
        <w:rPr>
          <w:rFonts w:ascii="Tahoma" w:hAnsi="Tahoma" w:cs="Tahoma"/>
          <w:sz w:val="20"/>
        </w:rPr>
        <w:t xml:space="preserve">la empresa </w:t>
      </w:r>
      <w:r w:rsidR="00C779B6" w:rsidRPr="007E54B7">
        <w:rPr>
          <w:rFonts w:ascii="Tahoma" w:hAnsi="Tahoma" w:cs="Tahoma"/>
          <w:sz w:val="20"/>
        </w:rPr>
        <w:t xml:space="preserve">Agobirich Ingenieros S.A.C., </w:t>
      </w:r>
      <w:r w:rsidR="006A6615">
        <w:rPr>
          <w:rFonts w:ascii="Tahoma" w:hAnsi="Tahoma" w:cs="Tahoma"/>
          <w:sz w:val="20"/>
        </w:rPr>
        <w:t xml:space="preserve">y los señores </w:t>
      </w:r>
      <w:r w:rsidR="00C779B6" w:rsidRPr="007E54B7">
        <w:rPr>
          <w:rFonts w:ascii="Tahoma" w:hAnsi="Tahoma" w:cs="Tahoma"/>
          <w:sz w:val="20"/>
        </w:rPr>
        <w:t>Chiriboga Rodriguez Miguel Ángel Martín, Fuentes Ortiz Cesar Alfredo y Arellano Gómez Edgardo Francisco</w:t>
      </w:r>
      <w:r w:rsidRPr="007E54B7">
        <w:rPr>
          <w:rFonts w:ascii="Tahoma" w:hAnsi="Tahoma" w:cs="Tahoma"/>
          <w:sz w:val="20"/>
          <w:szCs w:val="20"/>
        </w:rPr>
        <w:t xml:space="preserve">, </w:t>
      </w:r>
      <w:r w:rsidR="00C779B6">
        <w:rPr>
          <w:rFonts w:ascii="Tahoma" w:hAnsi="Tahoma" w:cs="Tahoma"/>
          <w:sz w:val="20"/>
          <w:szCs w:val="20"/>
        </w:rPr>
        <w:t>por supuesta responsabilidad en no suscribir el contrato de maneras injustificada</w:t>
      </w:r>
      <w:r w:rsidR="00DD2AC3">
        <w:rPr>
          <w:rFonts w:ascii="Tahoma" w:hAnsi="Tahoma" w:cs="Tahoma"/>
          <w:sz w:val="20"/>
          <w:szCs w:val="20"/>
        </w:rPr>
        <w:t>, derivado de</w:t>
      </w:r>
      <w:r w:rsidR="005319C9">
        <w:rPr>
          <w:rFonts w:ascii="Tahoma" w:hAnsi="Tahoma" w:cs="Tahoma"/>
          <w:sz w:val="20"/>
          <w:szCs w:val="20"/>
        </w:rPr>
        <w:t>l</w:t>
      </w:r>
      <w:r w:rsidR="00DD2AC3">
        <w:rPr>
          <w:rFonts w:ascii="Tahoma" w:hAnsi="Tahoma" w:cs="Tahoma"/>
          <w:sz w:val="20"/>
          <w:szCs w:val="20"/>
        </w:rPr>
        <w:t xml:space="preserve"> </w:t>
      </w:r>
      <w:r w:rsidR="005319C9" w:rsidRPr="007E54B7">
        <w:rPr>
          <w:rFonts w:ascii="Tahoma" w:hAnsi="Tahoma" w:cs="Tahoma"/>
          <w:sz w:val="20"/>
        </w:rPr>
        <w:t xml:space="preserve">Concurso Público Nº 007-2008-MTC/21, </w:t>
      </w:r>
      <w:r w:rsidR="005319C9">
        <w:rPr>
          <w:rFonts w:ascii="Tahoma" w:hAnsi="Tahoma" w:cs="Tahoma"/>
          <w:sz w:val="20"/>
        </w:rPr>
        <w:t xml:space="preserve">efectuado por </w:t>
      </w:r>
      <w:r w:rsidR="005319C9" w:rsidRPr="007E54B7">
        <w:rPr>
          <w:rFonts w:ascii="Tahoma" w:hAnsi="Tahoma" w:cs="Tahoma"/>
          <w:sz w:val="20"/>
        </w:rPr>
        <w:t>el Proyecto Especial de Infraestructura de Transporte Descentralizado – Provías Descentralizado</w:t>
      </w:r>
      <w:r w:rsidR="005319C9">
        <w:rPr>
          <w:rFonts w:ascii="Tahoma" w:hAnsi="Tahoma" w:cs="Tahoma"/>
          <w:sz w:val="20"/>
        </w:rPr>
        <w:t xml:space="preserve">, </w:t>
      </w:r>
      <w:r w:rsidR="005319C9" w:rsidRPr="007E54B7">
        <w:rPr>
          <w:rFonts w:ascii="Tahoma" w:hAnsi="Tahoma" w:cs="Tahoma"/>
          <w:sz w:val="20"/>
        </w:rPr>
        <w:t>para la contratación del servicios de consultoría de Obra para la elaboración del estudio definitivo de ingeniería para la construcción del puente Azángaro y Accesos – Departamento del Puno</w:t>
      </w:r>
      <w:r w:rsidRPr="007E54B7">
        <w:rPr>
          <w:rFonts w:ascii="Tahoma" w:hAnsi="Tahoma" w:cs="Tahoma"/>
          <w:sz w:val="20"/>
          <w:szCs w:val="20"/>
        </w:rPr>
        <w:t xml:space="preserve">; y, atendiendo a los siguientes:   </w:t>
      </w:r>
    </w:p>
    <w:p w:rsidR="007E54B7" w:rsidRPr="007E54B7" w:rsidRDefault="007E54B7" w:rsidP="007E54B7">
      <w:pPr>
        <w:spacing w:after="0" w:line="240" w:lineRule="auto"/>
        <w:ind w:right="45"/>
        <w:jc w:val="both"/>
        <w:rPr>
          <w:rFonts w:ascii="Tahoma" w:hAnsi="Tahoma" w:cs="Tahoma"/>
          <w:sz w:val="20"/>
          <w:szCs w:val="20"/>
        </w:rPr>
      </w:pPr>
    </w:p>
    <w:p w:rsidR="007E54B7" w:rsidRPr="007E54B7" w:rsidRDefault="007E54B7" w:rsidP="007E54B7">
      <w:pPr>
        <w:pStyle w:val="Ttulo2"/>
        <w:jc w:val="both"/>
        <w:rPr>
          <w:rFonts w:cs="Tahoma"/>
          <w:sz w:val="20"/>
        </w:rPr>
      </w:pPr>
      <w:r w:rsidRPr="007E54B7">
        <w:rPr>
          <w:rFonts w:cs="Tahoma"/>
          <w:sz w:val="20"/>
        </w:rPr>
        <w:t>ANTECEDENTES:</w:t>
      </w:r>
    </w:p>
    <w:p w:rsidR="007E54B7" w:rsidRDefault="007E54B7" w:rsidP="007E54B7">
      <w:pPr>
        <w:pStyle w:val="Prrafodelista"/>
        <w:widowControl/>
        <w:suppressAutoHyphens w:val="0"/>
        <w:ind w:left="360"/>
        <w:jc w:val="both"/>
        <w:rPr>
          <w:rFonts w:ascii="Tahoma" w:hAnsi="Tahoma" w:cs="Tahoma"/>
          <w:sz w:val="20"/>
        </w:rPr>
      </w:pPr>
    </w:p>
    <w:p w:rsidR="007E54B7" w:rsidRPr="007E54B7" w:rsidRDefault="007E54B7" w:rsidP="007E54B7">
      <w:pPr>
        <w:pStyle w:val="Prrafodelista"/>
        <w:widowControl/>
        <w:numPr>
          <w:ilvl w:val="0"/>
          <w:numId w:val="14"/>
        </w:numPr>
        <w:tabs>
          <w:tab w:val="clear" w:pos="454"/>
        </w:tabs>
        <w:suppressAutoHyphens w:val="0"/>
        <w:ind w:left="360" w:hanging="360"/>
        <w:jc w:val="both"/>
        <w:rPr>
          <w:rFonts w:ascii="Tahoma" w:hAnsi="Tahoma" w:cs="Tahoma"/>
          <w:sz w:val="20"/>
        </w:rPr>
      </w:pPr>
      <w:r w:rsidRPr="007E54B7">
        <w:rPr>
          <w:rFonts w:ascii="Tahoma" w:hAnsi="Tahoma" w:cs="Tahoma"/>
          <w:sz w:val="20"/>
        </w:rPr>
        <w:t>El 08 de mayo del 2008, el Proyecto Especial de Infraestructura de Transporte Descentralizado – Provías Descentralizado, en lo sucesivo la Entidad llevó a cabo la convocatoria del Concurso Público Nº 007-2008-MTC/21, para la contratación del servicios de consultoría de Obra para la elaboración del estudio definitivo de ingeniería para la construcción del puente Azángaro y Accesos – Departamento del Puno, por un valor referencial de S/.300,000.00</w:t>
      </w:r>
    </w:p>
    <w:p w:rsidR="007E54B7" w:rsidRPr="007E54B7" w:rsidRDefault="007E54B7" w:rsidP="007E54B7">
      <w:pPr>
        <w:pStyle w:val="Prrafodelista"/>
        <w:ind w:left="360"/>
        <w:rPr>
          <w:rFonts w:ascii="Tahoma" w:hAnsi="Tahoma" w:cs="Tahoma"/>
          <w:sz w:val="20"/>
        </w:rPr>
      </w:pPr>
    </w:p>
    <w:p w:rsidR="007E54B7" w:rsidRPr="007E54B7" w:rsidRDefault="007E54B7" w:rsidP="007E54B7">
      <w:pPr>
        <w:pStyle w:val="Prrafodelista"/>
        <w:widowControl/>
        <w:numPr>
          <w:ilvl w:val="0"/>
          <w:numId w:val="14"/>
        </w:numPr>
        <w:tabs>
          <w:tab w:val="clear" w:pos="454"/>
        </w:tabs>
        <w:suppressAutoHyphens w:val="0"/>
        <w:ind w:left="360" w:hanging="360"/>
        <w:jc w:val="both"/>
        <w:rPr>
          <w:rFonts w:ascii="Tahoma" w:hAnsi="Tahoma" w:cs="Tahoma"/>
          <w:sz w:val="20"/>
        </w:rPr>
      </w:pPr>
      <w:r w:rsidRPr="007E54B7">
        <w:rPr>
          <w:rFonts w:ascii="Tahoma" w:hAnsi="Tahoma" w:cs="Tahoma"/>
          <w:sz w:val="20"/>
        </w:rPr>
        <w:t>El 05 de junio del 2008, se llevó a cabo el acto público de presentación de propuestas, en el cual se presentó como único postor, el Consorcio Azángaro, conformado por Agobirich Ingenieros S.A.C., Chiriboga Rodriguez Miguel Ángel Martín, Fuentes Ortiz Cesar Alfredo y Arellano Gómez Edgardo Francisco. En dicha oportunidad, el Comité Especial procedió a admitir la propuesta del Consorcio.</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4"/>
        </w:numPr>
        <w:tabs>
          <w:tab w:val="clear" w:pos="454"/>
        </w:tabs>
        <w:suppressAutoHyphens w:val="0"/>
        <w:ind w:left="360" w:hanging="360"/>
        <w:jc w:val="both"/>
        <w:rPr>
          <w:rFonts w:ascii="Tahoma" w:hAnsi="Tahoma" w:cs="Tahoma"/>
          <w:sz w:val="20"/>
        </w:rPr>
      </w:pPr>
      <w:r w:rsidRPr="007E54B7">
        <w:rPr>
          <w:rFonts w:ascii="Tahoma" w:hAnsi="Tahoma" w:cs="Tahoma"/>
          <w:sz w:val="20"/>
        </w:rPr>
        <w:t>Con fecha 10 de junio del 2008, el Comité Especial dio a conocer el puntaje técnico del Consorcio Azángaro, el cual obtuvo 81.424 puntos, y procediendo a la apertura del sobre que contenía su propuesta económica, otorgó la buena pro a dicho postor, quien ofertó la suma de S/.270,000.00.</w:t>
      </w:r>
    </w:p>
    <w:p w:rsidR="007E54B7" w:rsidRPr="007E54B7" w:rsidRDefault="007E54B7" w:rsidP="007E54B7">
      <w:pPr>
        <w:pStyle w:val="Prrafodelista"/>
        <w:ind w:left="360"/>
        <w:rPr>
          <w:rFonts w:ascii="Tahoma" w:hAnsi="Tahoma" w:cs="Tahoma"/>
          <w:sz w:val="20"/>
        </w:rPr>
      </w:pPr>
    </w:p>
    <w:p w:rsidR="007E54B7" w:rsidRPr="007E54B7" w:rsidRDefault="007E54B7" w:rsidP="007E54B7">
      <w:pPr>
        <w:pStyle w:val="Prrafodelista"/>
        <w:ind w:left="360"/>
        <w:rPr>
          <w:rFonts w:ascii="Tahoma" w:hAnsi="Tahoma" w:cs="Tahoma"/>
          <w:sz w:val="20"/>
        </w:rPr>
      </w:pPr>
      <w:r w:rsidRPr="007E54B7">
        <w:rPr>
          <w:rFonts w:ascii="Tahoma" w:hAnsi="Tahoma" w:cs="Tahoma"/>
          <w:sz w:val="20"/>
        </w:rPr>
        <w:t xml:space="preserve">Los resultados fueron publicados en la misma oportunidad, a través del Sistema Electrónico de Adquisiciones y Contrataciones del Estado – SEACE. </w:t>
      </w:r>
    </w:p>
    <w:p w:rsidR="007E54B7" w:rsidRPr="007E54B7" w:rsidRDefault="007E54B7" w:rsidP="007E54B7">
      <w:pPr>
        <w:pStyle w:val="Prrafodelista"/>
        <w:ind w:left="360"/>
        <w:rPr>
          <w:rFonts w:ascii="Tahoma" w:hAnsi="Tahoma" w:cs="Tahoma"/>
          <w:sz w:val="20"/>
        </w:rPr>
      </w:pPr>
    </w:p>
    <w:p w:rsidR="007E54B7" w:rsidRP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lastRenderedPageBreak/>
        <w:t>Mediante Oficio Nº 1695-2008-MTC/21, recibido por el Consorcio Azángaro el 13 de junio del 2008, la Entidad, citó al adjudicatario para el día 26 de junio del 2008, para la suscripción del contrato respectivo, indicándole la documentación pertinente, para tal efecto.</w:t>
      </w:r>
    </w:p>
    <w:p w:rsidR="007E54B7" w:rsidRPr="007E54B7" w:rsidRDefault="007E54B7" w:rsidP="007E54B7">
      <w:pPr>
        <w:pStyle w:val="Prrafodelista"/>
        <w:ind w:left="454"/>
        <w:rPr>
          <w:rFonts w:ascii="Tahoma" w:hAnsi="Tahoma" w:cs="Tahoma"/>
          <w:sz w:val="20"/>
        </w:rPr>
      </w:pPr>
    </w:p>
    <w:p w:rsidR="007E54B7" w:rsidRP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t xml:space="preserve">Mediante Resolución Directoral Nº 1340-2008-MTC/21 de fecha 04 de julio del 2008, publicada el 07 de julio del 2008, mediante el SEACE, la Entidad declaró desierto el proceso de selección materia de análisis, debido a que el postor ganador de la buena pro, no se presentó en la fecha indicada para suscribir el contrato respectivo. </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t>Con Carta de fecha 04 de julio de 2008, el Consorcio solicitó a la Entidad le otorguen nueva fecha para la firma del contrato, al no haberse cumplido los plazos descritos en el artículo 203 del Reglamento.</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t>Mediante Oficio Nº 1996-2008—MTC/21  de fecha 09 de julio de 2008, la Entidad le indicó al Consorcio que se había publicado en el SEACE el consentimiento el día 10 de junio de 2008 y que la citación se realizó el 12 de junio de 2008, acreditándose de esta manera haber cumplido con los plazos descritos normativamente.</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t>Con escrito de fecha 17 de julio de 2008,  la Entidad comunicó a este Colegiado los hechos antes expuestos.</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t xml:space="preserve">Con decreto de fecha 17 de julio de 2008, de manera previa al inicio del procedimiento administrativo sancionador, se requirió a la Entidad que cumpla </w:t>
      </w:r>
      <w:r w:rsidRPr="007E54B7">
        <w:rPr>
          <w:rFonts w:ascii="Tahoma" w:hAnsi="Tahoma" w:cs="Tahoma"/>
          <w:color w:val="444444"/>
          <w:sz w:val="20"/>
        </w:rPr>
        <w:t xml:space="preserve">con subsanar su comunicación, debiendo adjuntar copia de la carta, </w:t>
      </w:r>
      <w:r w:rsidRPr="007E54B7">
        <w:rPr>
          <w:rFonts w:ascii="Tahoma" w:hAnsi="Tahoma" w:cs="Tahoma"/>
          <w:color w:val="444444"/>
          <w:sz w:val="20"/>
          <w:u w:val="single"/>
        </w:rPr>
        <w:t>debidamente recibida por el postor</w:t>
      </w:r>
      <w:r w:rsidRPr="007E54B7">
        <w:rPr>
          <w:rFonts w:ascii="Tahoma" w:hAnsi="Tahoma" w:cs="Tahoma"/>
          <w:color w:val="444444"/>
          <w:sz w:val="20"/>
        </w:rPr>
        <w:t>, mediante la cual se le citó para la suscripción de contrato.</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t>Mediante Oficio Nº 2352-2008-MTC/21 de fecha 15 de agosto de 2008, la Entidad remitió la información requerida, y adjuntó el Informe Nº  733-2008-MTC/21.UGAL en los siguientes términos:</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6"/>
        </w:numPr>
        <w:suppressAutoHyphens w:val="0"/>
        <w:ind w:left="1701" w:hanging="283"/>
        <w:jc w:val="both"/>
        <w:rPr>
          <w:rFonts w:ascii="Tahoma" w:hAnsi="Tahoma" w:cs="Tahoma"/>
          <w:sz w:val="20"/>
        </w:rPr>
      </w:pPr>
      <w:r w:rsidRPr="007E54B7">
        <w:rPr>
          <w:rFonts w:ascii="Tahoma" w:hAnsi="Tahoma" w:cs="Tahoma"/>
          <w:sz w:val="20"/>
        </w:rPr>
        <w:t>Mediante Oficio Nº 1695-2008-MTC/21, notificado el 12 de junio de 2008, se le otorgó al contratista el plazo de diez días para suscribir el contrato.</w:t>
      </w:r>
    </w:p>
    <w:p w:rsidR="007E54B7" w:rsidRPr="007E54B7" w:rsidRDefault="007E54B7" w:rsidP="007E54B7">
      <w:pPr>
        <w:pStyle w:val="Prrafodelista"/>
        <w:ind w:left="1701" w:hanging="283"/>
        <w:rPr>
          <w:rFonts w:ascii="Tahoma" w:hAnsi="Tahoma" w:cs="Tahoma"/>
          <w:sz w:val="20"/>
        </w:rPr>
      </w:pPr>
    </w:p>
    <w:p w:rsidR="007E54B7" w:rsidRPr="007E54B7" w:rsidRDefault="007E54B7" w:rsidP="007E54B7">
      <w:pPr>
        <w:pStyle w:val="Prrafodelista"/>
        <w:widowControl/>
        <w:numPr>
          <w:ilvl w:val="0"/>
          <w:numId w:val="16"/>
        </w:numPr>
        <w:suppressAutoHyphens w:val="0"/>
        <w:ind w:left="1701" w:hanging="283"/>
        <w:jc w:val="both"/>
        <w:rPr>
          <w:rFonts w:ascii="Tahoma" w:hAnsi="Tahoma" w:cs="Tahoma"/>
          <w:sz w:val="20"/>
        </w:rPr>
      </w:pPr>
      <w:r w:rsidRPr="007E54B7">
        <w:rPr>
          <w:rFonts w:ascii="Tahoma" w:hAnsi="Tahoma" w:cs="Tahoma"/>
          <w:sz w:val="20"/>
        </w:rPr>
        <w:t>Resulta claro que, al no haberse presentado el Postor para la firma del Contrato y no presentar la documentación requerida, su conducta es pasible de sanción.</w:t>
      </w:r>
    </w:p>
    <w:p w:rsidR="007E54B7" w:rsidRPr="007E54B7" w:rsidRDefault="007E54B7" w:rsidP="007E54B7">
      <w:pPr>
        <w:pStyle w:val="Prrafodelista"/>
        <w:ind w:left="454"/>
        <w:rPr>
          <w:rFonts w:ascii="Tahoma" w:hAnsi="Tahoma" w:cs="Tahoma"/>
          <w:sz w:val="20"/>
        </w:rPr>
      </w:pPr>
    </w:p>
    <w:p w:rsidR="007E54B7" w:rsidRP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t xml:space="preserve">Con decreto de fecha 15 de agosto de 2008, se dispuso iniciar el procedimiento administrativo sancionador contra el </w:t>
      </w:r>
      <w:r w:rsidRPr="007E54B7">
        <w:rPr>
          <w:rFonts w:ascii="Tahoma" w:hAnsi="Tahoma" w:cs="Tahoma"/>
          <w:b/>
          <w:bCs/>
          <w:color w:val="444444"/>
          <w:sz w:val="20"/>
        </w:rPr>
        <w:t>CONSORCIO AZANGARO conformado por  AGOBIRICH INGENIEROS S. A. C, ING. MIGUEL ANGEL CHIRIBOGA RODRIGUEZ, CESAR ALFREDO FUENTES ORTIZ, EDGAR FRANCISCO ARELLANOS GOMEZ</w:t>
      </w:r>
      <w:r w:rsidRPr="007E54B7">
        <w:rPr>
          <w:rFonts w:ascii="Tahoma" w:hAnsi="Tahoma" w:cs="Tahoma"/>
          <w:color w:val="444444"/>
          <w:sz w:val="20"/>
        </w:rPr>
        <w:t xml:space="preserve"> </w:t>
      </w:r>
      <w:r w:rsidRPr="007E54B7">
        <w:rPr>
          <w:rFonts w:ascii="Tahoma" w:hAnsi="Tahoma" w:cs="Tahoma"/>
          <w:sz w:val="20"/>
        </w:rPr>
        <w:t>por supuesta responsabilidad en la  no suscripción injustificada del contrato, a pesar de haber resultado ganador del otorgamiento de la buena pro en el CONCURSO PUBLICO Nº 001-2008-MTC/21-Primera Convocatoria. Asimismo, se le otorgó al Postor el plazo de diez (10) días</w:t>
      </w:r>
      <w:r w:rsidRPr="007E54B7">
        <w:rPr>
          <w:rFonts w:ascii="Tahoma" w:hAnsi="Tahoma" w:cs="Tahoma"/>
          <w:color w:val="444444"/>
          <w:sz w:val="20"/>
        </w:rPr>
        <w:t xml:space="preserve"> </w:t>
      </w:r>
      <w:r w:rsidRPr="007E54B7">
        <w:rPr>
          <w:rFonts w:ascii="Tahoma" w:hAnsi="Tahoma" w:cs="Tahoma"/>
          <w:color w:val="000000"/>
          <w:sz w:val="20"/>
        </w:rPr>
        <w:t>hábiles</w:t>
      </w:r>
      <w:r w:rsidRPr="007E54B7">
        <w:rPr>
          <w:rFonts w:ascii="Tahoma" w:hAnsi="Tahoma" w:cs="Tahoma"/>
          <w:color w:val="444444"/>
          <w:sz w:val="20"/>
        </w:rPr>
        <w:t xml:space="preserve"> </w:t>
      </w:r>
      <w:r w:rsidRPr="007E54B7">
        <w:rPr>
          <w:rFonts w:ascii="Tahoma" w:hAnsi="Tahoma" w:cs="Tahoma"/>
          <w:sz w:val="20"/>
        </w:rPr>
        <w:t>cumpla con presentar sus descargos, bajo apercibimiento de resolver el procedimiento con la documentación obrante en el expediente.</w:t>
      </w:r>
    </w:p>
    <w:p w:rsidR="007E54B7" w:rsidRPr="007E54B7" w:rsidRDefault="007E54B7" w:rsidP="007E54B7">
      <w:pPr>
        <w:pStyle w:val="Prrafodelista"/>
        <w:ind w:left="454"/>
        <w:rPr>
          <w:rFonts w:ascii="Tahoma" w:hAnsi="Tahoma" w:cs="Tahoma"/>
          <w:sz w:val="20"/>
        </w:rPr>
      </w:pPr>
    </w:p>
    <w:p w:rsidR="007E54B7" w:rsidRP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t>Con Oficio Nº 3370-2008-MTC/21 de fecha 28 de octubre de 2008, la Entidad remitió la Resolución de nombramiento de su Director Ejecutivo.</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t>Con escrito de fecha 06 de noviembre de 2008, el consorciado César Alfredo Fuentes Ortiz presentó sus descargos en los siguientes términos:</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5"/>
        </w:numPr>
        <w:suppressAutoHyphens w:val="0"/>
        <w:jc w:val="both"/>
        <w:rPr>
          <w:rFonts w:ascii="Tahoma" w:hAnsi="Tahoma" w:cs="Tahoma"/>
          <w:sz w:val="20"/>
        </w:rPr>
      </w:pPr>
      <w:r w:rsidRPr="007E54B7">
        <w:rPr>
          <w:rFonts w:ascii="Tahoma" w:hAnsi="Tahoma" w:cs="Tahoma"/>
          <w:sz w:val="20"/>
        </w:rPr>
        <w:t>El 10 de junio de 2008, en acto público, el Comité Especial otorgó la buena pro al consorcio, la cual quedo consentida en la misa fecha, tal como indica el artículo 137º del Reglamento. En tal sentido, a los dos días del consentimiento la Entidad debió citar al Consorcio para la firma del Contrato.</w:t>
      </w:r>
    </w:p>
    <w:p w:rsidR="007E54B7" w:rsidRPr="007E54B7" w:rsidRDefault="007E54B7" w:rsidP="007E54B7">
      <w:pPr>
        <w:pStyle w:val="Prrafodelista"/>
        <w:ind w:left="1894"/>
        <w:rPr>
          <w:rFonts w:ascii="Tahoma" w:hAnsi="Tahoma" w:cs="Tahoma"/>
          <w:sz w:val="20"/>
        </w:rPr>
      </w:pPr>
    </w:p>
    <w:p w:rsidR="007E54B7" w:rsidRPr="007E54B7" w:rsidRDefault="007E54B7" w:rsidP="007E54B7">
      <w:pPr>
        <w:pStyle w:val="Prrafodelista"/>
        <w:widowControl/>
        <w:numPr>
          <w:ilvl w:val="0"/>
          <w:numId w:val="15"/>
        </w:numPr>
        <w:suppressAutoHyphens w:val="0"/>
        <w:jc w:val="both"/>
        <w:rPr>
          <w:rFonts w:ascii="Tahoma" w:hAnsi="Tahoma" w:cs="Tahoma"/>
          <w:sz w:val="20"/>
        </w:rPr>
      </w:pPr>
      <w:r w:rsidRPr="007E54B7">
        <w:rPr>
          <w:rFonts w:ascii="Tahoma" w:hAnsi="Tahoma" w:cs="Tahoma"/>
          <w:sz w:val="20"/>
        </w:rPr>
        <w:t>Con Oficio Nº 1695-2008-MTC/21 de fecha 13 de junio de 2008, la Entidad realizó la citación para la firma del contrato, pero no se otorgó diez días hábiles para tales fines, ni tampoco se cumplió con realizar la citación a los dos días de haberse consentido el otorgamiento.</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5"/>
        </w:numPr>
        <w:suppressAutoHyphens w:val="0"/>
        <w:jc w:val="both"/>
        <w:rPr>
          <w:rFonts w:ascii="Tahoma" w:hAnsi="Tahoma" w:cs="Tahoma"/>
          <w:sz w:val="20"/>
        </w:rPr>
      </w:pPr>
      <w:r w:rsidRPr="007E54B7">
        <w:rPr>
          <w:rFonts w:ascii="Tahoma" w:hAnsi="Tahoma" w:cs="Tahoma"/>
          <w:sz w:val="20"/>
        </w:rPr>
        <w:t>Ante dicha irregularidad, se requirió a la Entidad que en el plazo de 05 días cumpla con citar nuevamente al consorcio.</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5"/>
        </w:numPr>
        <w:suppressAutoHyphens w:val="0"/>
        <w:jc w:val="both"/>
        <w:rPr>
          <w:rFonts w:ascii="Tahoma" w:hAnsi="Tahoma" w:cs="Tahoma"/>
          <w:sz w:val="20"/>
        </w:rPr>
      </w:pPr>
      <w:r w:rsidRPr="007E54B7">
        <w:rPr>
          <w:rFonts w:ascii="Tahoma" w:hAnsi="Tahoma" w:cs="Tahoma"/>
          <w:sz w:val="20"/>
        </w:rPr>
        <w:t>El 26 de junio el representante del Consorcio remitió a la Entidad la documentación necesaria para la firma del Contrato, sin embargo, el funcionario a cargo no los recibió por no haber adjuntado la Carta Fianza de Fiel Cumplimiento.</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5"/>
        </w:numPr>
        <w:suppressAutoHyphens w:val="0"/>
        <w:jc w:val="both"/>
        <w:rPr>
          <w:rFonts w:ascii="Tahoma" w:hAnsi="Tahoma" w:cs="Tahoma"/>
          <w:sz w:val="20"/>
        </w:rPr>
      </w:pPr>
      <w:r w:rsidRPr="007E54B7">
        <w:rPr>
          <w:rFonts w:ascii="Tahoma" w:hAnsi="Tahoma" w:cs="Tahoma"/>
          <w:sz w:val="20"/>
        </w:rPr>
        <w:t>Con fecha 04 de julio se presentó la Garantía de Fiel cumplimento.</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5"/>
        </w:numPr>
        <w:suppressAutoHyphens w:val="0"/>
        <w:jc w:val="both"/>
        <w:rPr>
          <w:rFonts w:ascii="Tahoma" w:hAnsi="Tahoma" w:cs="Tahoma"/>
          <w:sz w:val="20"/>
        </w:rPr>
      </w:pPr>
      <w:r w:rsidRPr="007E54B7">
        <w:rPr>
          <w:rFonts w:ascii="Tahoma" w:hAnsi="Tahoma" w:cs="Tahoma"/>
          <w:sz w:val="20"/>
        </w:rPr>
        <w:t>Se contradice expresamente el Informe Legal Nº 733-2008-MTC/21 en el cual se manifiesta haber otorgado los diez días hábiles para la suscripción del contrato.</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5"/>
        </w:numPr>
        <w:suppressAutoHyphens w:val="0"/>
        <w:jc w:val="both"/>
        <w:rPr>
          <w:rFonts w:ascii="Tahoma" w:hAnsi="Tahoma" w:cs="Tahoma"/>
          <w:sz w:val="20"/>
        </w:rPr>
      </w:pPr>
      <w:r w:rsidRPr="007E54B7">
        <w:rPr>
          <w:rFonts w:ascii="Tahoma" w:hAnsi="Tahoma" w:cs="Tahoma"/>
          <w:sz w:val="20"/>
        </w:rPr>
        <w:t>El consorcio Azángaro mostró la debida diligencia en gestionar la carta fianza de fiel cumplimiento, la cual hubiera sido presentada correctamente si los plazos otorgados se habrían respetado.</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5"/>
        </w:numPr>
        <w:suppressAutoHyphens w:val="0"/>
        <w:jc w:val="both"/>
        <w:rPr>
          <w:rFonts w:ascii="Tahoma" w:hAnsi="Tahoma" w:cs="Tahoma"/>
          <w:sz w:val="20"/>
        </w:rPr>
      </w:pPr>
      <w:r w:rsidRPr="007E54B7">
        <w:rPr>
          <w:rFonts w:ascii="Tahoma" w:hAnsi="Tahoma" w:cs="Tahoma"/>
          <w:sz w:val="20"/>
        </w:rPr>
        <w:t>Solicitó el uso de la palabra.</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ind w:left="454"/>
        <w:rPr>
          <w:rFonts w:ascii="Tahoma" w:hAnsi="Tahoma" w:cs="Tahoma"/>
          <w:sz w:val="20"/>
        </w:rPr>
      </w:pPr>
    </w:p>
    <w:p w:rsidR="007E54B7" w:rsidRP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t>Con escrito de fecha 10 de noviembre de 2008, el Consorciado AGOBIRICH INGENIEROS S.A.C. se apersonó al presente procedimiento e indicó los mismos argumentos referidos por el consorciado César Alfredo Fuentes Ortiz.</w:t>
      </w:r>
    </w:p>
    <w:p w:rsidR="007E54B7" w:rsidRPr="007E54B7" w:rsidRDefault="007E54B7" w:rsidP="007E54B7">
      <w:pPr>
        <w:pStyle w:val="Prrafodelista"/>
        <w:ind w:left="454"/>
        <w:rPr>
          <w:rFonts w:ascii="Tahoma" w:hAnsi="Tahoma" w:cs="Tahoma"/>
          <w:sz w:val="20"/>
        </w:rPr>
      </w:pPr>
    </w:p>
    <w:p w:rsidR="007E54B7" w:rsidRPr="007E54B7" w:rsidRDefault="007E54B7" w:rsidP="007E54B7">
      <w:pPr>
        <w:pStyle w:val="Prrafodelista"/>
        <w:widowControl/>
        <w:numPr>
          <w:ilvl w:val="0"/>
          <w:numId w:val="14"/>
        </w:numPr>
        <w:tabs>
          <w:tab w:val="left" w:pos="540"/>
        </w:tabs>
        <w:suppressAutoHyphens w:val="0"/>
        <w:jc w:val="both"/>
        <w:rPr>
          <w:rFonts w:ascii="Tahoma" w:hAnsi="Tahoma" w:cs="Tahoma"/>
          <w:sz w:val="20"/>
        </w:rPr>
      </w:pPr>
      <w:r w:rsidRPr="007E54B7">
        <w:rPr>
          <w:rFonts w:ascii="Tahoma" w:hAnsi="Tahoma" w:cs="Tahoma"/>
          <w:sz w:val="20"/>
        </w:rPr>
        <w:t>Con decreto de fecha</w:t>
      </w:r>
      <w:r w:rsidRPr="007E54B7">
        <w:rPr>
          <w:rFonts w:ascii="Tahoma" w:hAnsi="Tahoma" w:cs="Tahoma"/>
          <w:color w:val="444444"/>
          <w:sz w:val="20"/>
        </w:rPr>
        <w:t xml:space="preserve">, </w:t>
      </w:r>
      <w:r w:rsidRPr="007E54B7">
        <w:rPr>
          <w:rFonts w:ascii="Tahoma" w:hAnsi="Tahoma" w:cs="Tahoma"/>
          <w:sz w:val="20"/>
        </w:rPr>
        <w:t>11 de noviembre del 2008, habiendo cumplido los consorciados CÉSAR ALFREDO FUENTES ORTIZ, y AGOBIRICH INGENIEROS  S. A. C;  en presentar sus descargos, se dispuso remitir el expediente a la Tercera Sala del Tribunal para que resuelva.</w:t>
      </w:r>
    </w:p>
    <w:p w:rsidR="007E54B7" w:rsidRPr="007E54B7" w:rsidRDefault="007E54B7" w:rsidP="007E54B7">
      <w:pPr>
        <w:pStyle w:val="Prrafodelista"/>
        <w:rPr>
          <w:rFonts w:ascii="Tahoma" w:hAnsi="Tahoma" w:cs="Tahoma"/>
          <w:color w:val="444444"/>
          <w:sz w:val="20"/>
        </w:rPr>
      </w:pPr>
    </w:p>
    <w:p w:rsidR="007E54B7" w:rsidRPr="007E54B7" w:rsidRDefault="007E54B7" w:rsidP="007E54B7">
      <w:pPr>
        <w:pStyle w:val="Prrafodelista"/>
        <w:widowControl/>
        <w:numPr>
          <w:ilvl w:val="0"/>
          <w:numId w:val="14"/>
        </w:numPr>
        <w:tabs>
          <w:tab w:val="left" w:pos="540"/>
        </w:tabs>
        <w:suppressAutoHyphens w:val="0"/>
        <w:jc w:val="both"/>
        <w:rPr>
          <w:rFonts w:ascii="Tahoma" w:hAnsi="Tahoma" w:cs="Tahoma"/>
          <w:sz w:val="20"/>
        </w:rPr>
      </w:pPr>
      <w:r w:rsidRPr="007E54B7">
        <w:rPr>
          <w:rFonts w:ascii="Tahoma" w:hAnsi="Tahoma" w:cs="Tahoma"/>
          <w:sz w:val="20"/>
        </w:rPr>
        <w:t>Con decreto de fecha 12 de noviembre de 2008, no habiendo cumplido el consorciado Arellano Gómez Edgardo con presentar sus descargos  se hizo efectivo el apercibimiento de resolver con la documentación obrante en autos.</w:t>
      </w:r>
    </w:p>
    <w:p w:rsidR="007E54B7" w:rsidRPr="007E54B7" w:rsidRDefault="007E54B7" w:rsidP="007E54B7">
      <w:pPr>
        <w:pStyle w:val="Prrafodelista"/>
        <w:ind w:left="454"/>
        <w:rPr>
          <w:rFonts w:ascii="Tahoma" w:hAnsi="Tahoma" w:cs="Tahoma"/>
          <w:color w:val="444444"/>
          <w:sz w:val="20"/>
        </w:rPr>
      </w:pPr>
    </w:p>
    <w:p w:rsidR="007E54B7" w:rsidRPr="007E54B7" w:rsidRDefault="007E54B7" w:rsidP="007E54B7">
      <w:pPr>
        <w:pStyle w:val="Prrafodelista"/>
        <w:widowControl/>
        <w:numPr>
          <w:ilvl w:val="0"/>
          <w:numId w:val="14"/>
        </w:numPr>
        <w:suppressAutoHyphens w:val="0"/>
        <w:jc w:val="both"/>
        <w:rPr>
          <w:rFonts w:ascii="Tahoma" w:hAnsi="Tahoma" w:cs="Tahoma"/>
          <w:color w:val="444444"/>
          <w:sz w:val="20"/>
        </w:rPr>
      </w:pPr>
      <w:r w:rsidRPr="007E54B7">
        <w:rPr>
          <w:rFonts w:ascii="Tahoma" w:hAnsi="Tahoma" w:cs="Tahoma"/>
          <w:sz w:val="20"/>
        </w:rPr>
        <w:t>Con escrito de fecha 02 de diciembre de 2008, el consorciado Miguel Ángel Chiriboga Rodriguez se apersonó al</w:t>
      </w:r>
      <w:r w:rsidRPr="007E54B7">
        <w:rPr>
          <w:rFonts w:ascii="Tahoma" w:hAnsi="Tahoma" w:cs="Tahoma"/>
          <w:color w:val="444444"/>
          <w:sz w:val="20"/>
        </w:rPr>
        <w:t xml:space="preserve"> </w:t>
      </w:r>
      <w:r w:rsidRPr="007E54B7">
        <w:rPr>
          <w:rFonts w:ascii="Tahoma" w:hAnsi="Tahoma" w:cs="Tahoma"/>
          <w:sz w:val="20"/>
        </w:rPr>
        <w:t xml:space="preserve">presente procedimiento, extemporáneamente,  indicó los </w:t>
      </w:r>
      <w:r w:rsidRPr="007E54B7">
        <w:rPr>
          <w:rFonts w:ascii="Tahoma" w:hAnsi="Tahoma" w:cs="Tahoma"/>
          <w:sz w:val="20"/>
        </w:rPr>
        <w:lastRenderedPageBreak/>
        <w:t>mismos argumentos referidos por los consorciados César Alfredo Fuentes Ortiz y AGOBIRICH INGENIEROS S.A.C.</w:t>
      </w:r>
    </w:p>
    <w:p w:rsidR="007E54B7" w:rsidRPr="007E54B7" w:rsidRDefault="007E54B7" w:rsidP="007E54B7">
      <w:pPr>
        <w:pStyle w:val="Prrafodelista"/>
        <w:rPr>
          <w:rFonts w:ascii="Tahoma" w:hAnsi="Tahoma" w:cs="Tahoma"/>
          <w:color w:val="444444"/>
          <w:sz w:val="20"/>
        </w:rPr>
      </w:pPr>
    </w:p>
    <w:p w:rsidR="007E54B7" w:rsidRP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t>Con escrito de fecha 29 de enero de 2009, el Consorciado Edgardo Arellano Gómez, se apersonó al presente procedimiento, e indicó, extemporáneamente, los mismos argumentos referidos por los sus consorciados. Solicitó el uso de la palabra.</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t>Con escritos de fecha 02 de abril de 2009, el Sr. Miguel Ángel Chiriboga Rodríguez y la empresa AGOBIRICH INGENIEROS S.A.C. designaron a su representante legal en el presente procedimiento administrativo.</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t>Con decreto de fecha 30 de julio de 2009, en virtud a que por Resolución N.° 256-2009-OSCE/PRE de fecha 07 de julio de 2009, se designó a la Primera Sala del Tribunal de Contrataciones del Estado como competente para conocer los procedimientos administrativos sancionadores a partir del 13 de julio del 2009:, se dispuso remitiré  el  expediente Nº 2719-2008.TC  a la PRIMERA SALA DEL TRIBUNAL y continúese el procedimiento según su estado, con conocimiento de las partes.</w:t>
      </w:r>
    </w:p>
    <w:p w:rsidR="007E54B7" w:rsidRPr="007E54B7" w:rsidRDefault="007E54B7" w:rsidP="007E54B7">
      <w:pPr>
        <w:pStyle w:val="Prrafodelista"/>
        <w:rPr>
          <w:rFonts w:ascii="Tahoma" w:hAnsi="Tahoma" w:cs="Tahoma"/>
          <w:sz w:val="20"/>
        </w:rPr>
      </w:pPr>
    </w:p>
    <w:p w:rsidR="007E54B7" w:rsidRP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t>Con escrito de fechas 25 de abril de 2011, el Sr. Miguel Ángel Chiriboga Rodríguez y la empresa AGOBIRICH INGENIEROS S.A.C. designaron a sus representantes para la Audiencia Pública.</w:t>
      </w:r>
    </w:p>
    <w:p w:rsidR="007E54B7" w:rsidRPr="007E54B7" w:rsidRDefault="007E54B7" w:rsidP="007E54B7">
      <w:pPr>
        <w:pStyle w:val="Prrafodelista"/>
        <w:rPr>
          <w:rFonts w:ascii="Tahoma" w:hAnsi="Tahoma" w:cs="Tahoma"/>
          <w:sz w:val="20"/>
        </w:rPr>
      </w:pPr>
    </w:p>
    <w:p w:rsidR="003B68A9" w:rsidRDefault="003B68A9" w:rsidP="007E54B7">
      <w:pPr>
        <w:pStyle w:val="Prrafodelista"/>
        <w:widowControl/>
        <w:numPr>
          <w:ilvl w:val="0"/>
          <w:numId w:val="14"/>
        </w:numPr>
        <w:suppressAutoHyphens w:val="0"/>
        <w:jc w:val="both"/>
        <w:rPr>
          <w:rFonts w:ascii="Tahoma" w:hAnsi="Tahoma" w:cs="Tahoma"/>
          <w:sz w:val="20"/>
        </w:rPr>
      </w:pPr>
      <w:r>
        <w:rPr>
          <w:rFonts w:ascii="Tahoma" w:hAnsi="Tahoma" w:cs="Tahoma"/>
          <w:sz w:val="20"/>
        </w:rPr>
        <w:t>Se programó diligencia de audiencia pública para el día 28 de abril de 2011.</w:t>
      </w:r>
    </w:p>
    <w:p w:rsidR="003B68A9" w:rsidRPr="003B68A9" w:rsidRDefault="003B68A9" w:rsidP="003B68A9">
      <w:pPr>
        <w:pStyle w:val="Prrafodelista"/>
        <w:rPr>
          <w:rFonts w:ascii="Tahoma" w:hAnsi="Tahoma" w:cs="Tahoma"/>
          <w:sz w:val="20"/>
        </w:rPr>
      </w:pPr>
    </w:p>
    <w:p w:rsidR="007E54B7" w:rsidRDefault="007E54B7" w:rsidP="007E54B7">
      <w:pPr>
        <w:pStyle w:val="Prrafodelista"/>
        <w:widowControl/>
        <w:numPr>
          <w:ilvl w:val="0"/>
          <w:numId w:val="14"/>
        </w:numPr>
        <w:suppressAutoHyphens w:val="0"/>
        <w:jc w:val="both"/>
        <w:rPr>
          <w:rFonts w:ascii="Tahoma" w:hAnsi="Tahoma" w:cs="Tahoma"/>
          <w:sz w:val="20"/>
        </w:rPr>
      </w:pPr>
      <w:r w:rsidRPr="007E54B7">
        <w:rPr>
          <w:rFonts w:ascii="Tahoma" w:hAnsi="Tahoma" w:cs="Tahoma"/>
          <w:sz w:val="20"/>
        </w:rPr>
        <w:t>Con escrito de fechas 27 de abril de 2011, las  consorciadas Agoribich ingenieros S.A.C. y el Sr. Miguel Ángel Chiriboga Rodríguez, solicitaron fijar nueva fecha y hora para la audiencia pública.</w:t>
      </w:r>
    </w:p>
    <w:p w:rsidR="003B68A9" w:rsidRPr="003B68A9" w:rsidRDefault="003B68A9" w:rsidP="003B68A9">
      <w:pPr>
        <w:pStyle w:val="Prrafodelista"/>
        <w:rPr>
          <w:rFonts w:ascii="Tahoma" w:hAnsi="Tahoma" w:cs="Tahoma"/>
          <w:sz w:val="20"/>
        </w:rPr>
      </w:pPr>
    </w:p>
    <w:p w:rsidR="003B68A9" w:rsidRDefault="003B68A9" w:rsidP="007E54B7">
      <w:pPr>
        <w:pStyle w:val="Prrafodelista"/>
        <w:widowControl/>
        <w:numPr>
          <w:ilvl w:val="0"/>
          <w:numId w:val="14"/>
        </w:numPr>
        <w:suppressAutoHyphens w:val="0"/>
        <w:jc w:val="both"/>
        <w:rPr>
          <w:rFonts w:ascii="Tahoma" w:hAnsi="Tahoma" w:cs="Tahoma"/>
          <w:sz w:val="20"/>
        </w:rPr>
      </w:pPr>
      <w:r>
        <w:rPr>
          <w:rFonts w:ascii="Tahoma" w:hAnsi="Tahoma" w:cs="Tahoma"/>
          <w:sz w:val="20"/>
        </w:rPr>
        <w:t>El 28 de abril, la audiencia pública no se llevó a cabo por inasistencia de las partes.</w:t>
      </w:r>
    </w:p>
    <w:p w:rsidR="007E54B7" w:rsidRPr="007E54B7" w:rsidRDefault="007E54B7" w:rsidP="007E54B7">
      <w:pPr>
        <w:pStyle w:val="Prrafodelista"/>
        <w:rPr>
          <w:rFonts w:ascii="Tahoma" w:hAnsi="Tahoma" w:cs="Tahoma"/>
          <w:sz w:val="20"/>
        </w:rPr>
      </w:pPr>
    </w:p>
    <w:p w:rsidR="007E54B7" w:rsidRPr="007E54B7" w:rsidRDefault="007E54B7" w:rsidP="007E54B7">
      <w:pPr>
        <w:tabs>
          <w:tab w:val="num" w:pos="9720"/>
        </w:tabs>
        <w:spacing w:after="0" w:line="240" w:lineRule="auto"/>
        <w:jc w:val="both"/>
        <w:rPr>
          <w:rFonts w:ascii="Tahoma" w:hAnsi="Tahoma" w:cs="Tahoma"/>
          <w:b/>
          <w:sz w:val="20"/>
          <w:szCs w:val="20"/>
        </w:rPr>
      </w:pPr>
      <w:r w:rsidRPr="007E54B7">
        <w:rPr>
          <w:rFonts w:ascii="Tahoma" w:hAnsi="Tahoma" w:cs="Tahoma"/>
          <w:b/>
          <w:sz w:val="20"/>
          <w:szCs w:val="20"/>
        </w:rPr>
        <w:t>FUNDAMENTACIÓN:</w:t>
      </w:r>
    </w:p>
    <w:p w:rsidR="007E54B7" w:rsidRPr="007E54B7" w:rsidRDefault="007E54B7" w:rsidP="007E54B7">
      <w:pPr>
        <w:pStyle w:val="Textonotapie"/>
        <w:rPr>
          <w:b/>
          <w:bCs/>
          <w:lang w:val="es-MX"/>
        </w:rPr>
      </w:pPr>
    </w:p>
    <w:p w:rsidR="007E54B7" w:rsidRPr="007E54B7" w:rsidRDefault="007E54B7" w:rsidP="007E54B7">
      <w:pPr>
        <w:numPr>
          <w:ilvl w:val="0"/>
          <w:numId w:val="17"/>
        </w:numPr>
        <w:tabs>
          <w:tab w:val="clear" w:pos="360"/>
          <w:tab w:val="num" w:pos="540"/>
        </w:tabs>
        <w:spacing w:after="0" w:line="240" w:lineRule="auto"/>
        <w:ind w:left="540" w:hanging="540"/>
        <w:jc w:val="both"/>
        <w:rPr>
          <w:rFonts w:ascii="Tahoma" w:hAnsi="Tahoma" w:cs="Tahoma"/>
          <w:sz w:val="20"/>
          <w:szCs w:val="20"/>
        </w:rPr>
      </w:pPr>
      <w:r w:rsidRPr="007E54B7">
        <w:rPr>
          <w:rFonts w:ascii="Tahoma" w:hAnsi="Tahoma" w:cs="Tahoma"/>
          <w:sz w:val="20"/>
          <w:szCs w:val="20"/>
          <w:lang w:val="es-PE"/>
        </w:rPr>
        <w:t xml:space="preserve">El presente procedimiento administrativo está referido a la supuesta responsabilidad </w:t>
      </w:r>
      <w:r w:rsidRPr="007E54B7">
        <w:rPr>
          <w:rFonts w:ascii="Tahoma" w:hAnsi="Tahoma" w:cs="Tahoma"/>
          <w:b/>
          <w:bCs/>
          <w:color w:val="444444"/>
          <w:sz w:val="20"/>
          <w:szCs w:val="20"/>
        </w:rPr>
        <w:t>CONSORCIO AZANGARO conformado por  AGOBIRICH INGENIEROS S. A. C, ING. MIGUEL ANGEL CHIRIBOGA RODRIGUEZ, CESAR ALFREDO FUENTES ORTIZ, EDGAR FRANCISCO ARELLANOS GOMEZ</w:t>
      </w:r>
      <w:r w:rsidRPr="007E54B7">
        <w:rPr>
          <w:rFonts w:ascii="Tahoma" w:hAnsi="Tahoma" w:cs="Tahoma"/>
          <w:sz w:val="20"/>
          <w:szCs w:val="20"/>
        </w:rPr>
        <w:t xml:space="preserve">. </w:t>
      </w:r>
      <w:r w:rsidRPr="007E54B7">
        <w:rPr>
          <w:rFonts w:ascii="Tahoma" w:hAnsi="Tahoma" w:cs="Tahoma"/>
          <w:sz w:val="20"/>
          <w:szCs w:val="20"/>
          <w:lang w:val="es-PE"/>
        </w:rPr>
        <w:t xml:space="preserve">por no suscribir injustificadamente el contrato derivado </w:t>
      </w:r>
      <w:r w:rsidRPr="007E54B7">
        <w:rPr>
          <w:rFonts w:ascii="Tahoma" w:hAnsi="Tahoma" w:cs="Tahoma"/>
          <w:sz w:val="20"/>
          <w:szCs w:val="20"/>
        </w:rPr>
        <w:t>del Concurso Público Nº 007-2008-MTC/21, para la contratación del servicios de consultoría de Obra para la elaboración del estudio definitivo de ingeniería para la construcción del puente Azángaro y Accesos – Departamento del Puno.</w:t>
      </w:r>
    </w:p>
    <w:p w:rsidR="007E54B7" w:rsidRDefault="007E54B7" w:rsidP="007E54B7">
      <w:pPr>
        <w:spacing w:after="0" w:line="240" w:lineRule="auto"/>
        <w:ind w:left="540"/>
        <w:jc w:val="both"/>
        <w:rPr>
          <w:rFonts w:ascii="Tahoma" w:hAnsi="Tahoma" w:cs="Tahoma"/>
          <w:sz w:val="20"/>
          <w:szCs w:val="20"/>
        </w:rPr>
      </w:pPr>
    </w:p>
    <w:p w:rsidR="007E54B7" w:rsidRPr="007E54B7" w:rsidRDefault="007E54B7" w:rsidP="007E54B7">
      <w:pPr>
        <w:numPr>
          <w:ilvl w:val="0"/>
          <w:numId w:val="17"/>
        </w:numPr>
        <w:tabs>
          <w:tab w:val="clear" w:pos="360"/>
          <w:tab w:val="num" w:pos="540"/>
        </w:tabs>
        <w:spacing w:after="0" w:line="240" w:lineRule="auto"/>
        <w:ind w:left="540" w:hanging="540"/>
        <w:jc w:val="both"/>
        <w:rPr>
          <w:rFonts w:ascii="Tahoma" w:hAnsi="Tahoma" w:cs="Tahoma"/>
          <w:sz w:val="20"/>
          <w:szCs w:val="20"/>
        </w:rPr>
      </w:pPr>
      <w:r w:rsidRPr="007E54B7">
        <w:rPr>
          <w:rFonts w:ascii="Tahoma" w:hAnsi="Tahoma" w:cs="Tahoma"/>
          <w:sz w:val="20"/>
          <w:szCs w:val="20"/>
        </w:rPr>
        <w:t>En ese sentido, corresponde evaluar si en el presente caso los hechos expuestos por la Entidad configuran la causal tipificada en el numeral 1 del artículo 294 del Reglamento de la Ley de Contrataciones y Adquisiciones del Estado, aprobado por Decreto Supremo N.º 084-2004-PCM</w:t>
      </w:r>
      <w:r w:rsidRPr="007E54B7">
        <w:rPr>
          <w:rStyle w:val="Refdenotaalpie"/>
          <w:rFonts w:ascii="Tahoma" w:hAnsi="Tahoma" w:cs="Tahoma"/>
          <w:sz w:val="20"/>
          <w:szCs w:val="20"/>
        </w:rPr>
        <w:footnoteReference w:id="2"/>
      </w:r>
      <w:r w:rsidRPr="007E54B7">
        <w:rPr>
          <w:rFonts w:ascii="Tahoma" w:hAnsi="Tahoma" w:cs="Tahoma"/>
          <w:sz w:val="20"/>
          <w:szCs w:val="20"/>
        </w:rPr>
        <w:t xml:space="preserve">, modificado por el artículo 1º del Decreto Supremo Nº </w:t>
      </w:r>
      <w:r w:rsidRPr="007E54B7">
        <w:rPr>
          <w:rFonts w:ascii="Tahoma" w:hAnsi="Tahoma" w:cs="Tahoma"/>
          <w:sz w:val="20"/>
          <w:szCs w:val="20"/>
        </w:rPr>
        <w:lastRenderedPageBreak/>
        <w:t>107-2007-EF, publicado el 20 de julio de 2007, a través del Diario Oficial el Peruano, en adelante el Reglamento, norma vigente al suscitarse los hechos, la cual establece como supuesto de hecho indispensable para su configuración,</w:t>
      </w:r>
      <w:r w:rsidRPr="007E54B7">
        <w:rPr>
          <w:rFonts w:ascii="Tahoma" w:hAnsi="Tahoma" w:cs="Tahoma"/>
          <w:b/>
          <w:bCs/>
          <w:sz w:val="20"/>
          <w:szCs w:val="20"/>
        </w:rPr>
        <w:t xml:space="preserve"> </w:t>
      </w:r>
      <w:r w:rsidRPr="007E54B7">
        <w:rPr>
          <w:rFonts w:ascii="Tahoma" w:hAnsi="Tahoma" w:cs="Tahoma"/>
          <w:sz w:val="20"/>
          <w:szCs w:val="20"/>
        </w:rPr>
        <w:t>que el postor adjudicatario de la buena pro no suscriba injustificadamente el contrato correspondiente o no reciba injustificadamente la orden de compra o de servicios emitida a su favor, de modo tal que no se perfeccione el vínculo jurídico contractual</w:t>
      </w:r>
      <w:r w:rsidRPr="007E54B7">
        <w:rPr>
          <w:rStyle w:val="Refdenotaalpie"/>
          <w:rFonts w:ascii="Tahoma" w:hAnsi="Tahoma" w:cs="Tahoma"/>
          <w:sz w:val="20"/>
          <w:szCs w:val="20"/>
        </w:rPr>
        <w:footnoteReference w:id="3"/>
      </w:r>
      <w:r w:rsidRPr="007E54B7">
        <w:rPr>
          <w:rFonts w:ascii="Tahoma" w:hAnsi="Tahoma" w:cs="Tahoma"/>
          <w:sz w:val="20"/>
          <w:szCs w:val="20"/>
        </w:rPr>
        <w:t>.</w:t>
      </w:r>
    </w:p>
    <w:p w:rsidR="007E54B7" w:rsidRDefault="007E54B7" w:rsidP="007E54B7">
      <w:pPr>
        <w:spacing w:after="0" w:line="240" w:lineRule="auto"/>
        <w:ind w:left="540"/>
        <w:jc w:val="both"/>
        <w:rPr>
          <w:rFonts w:ascii="Tahoma" w:hAnsi="Tahoma" w:cs="Tahoma"/>
          <w:sz w:val="20"/>
          <w:szCs w:val="20"/>
        </w:rPr>
      </w:pPr>
    </w:p>
    <w:p w:rsidR="007E54B7" w:rsidRPr="007E54B7" w:rsidRDefault="007E54B7" w:rsidP="007E54B7">
      <w:pPr>
        <w:numPr>
          <w:ilvl w:val="0"/>
          <w:numId w:val="17"/>
        </w:numPr>
        <w:tabs>
          <w:tab w:val="clear" w:pos="360"/>
          <w:tab w:val="num" w:pos="540"/>
        </w:tabs>
        <w:spacing w:after="0" w:line="240" w:lineRule="auto"/>
        <w:ind w:left="540" w:hanging="540"/>
        <w:jc w:val="both"/>
        <w:rPr>
          <w:rFonts w:ascii="Tahoma" w:hAnsi="Tahoma" w:cs="Tahoma"/>
          <w:sz w:val="20"/>
          <w:szCs w:val="20"/>
        </w:rPr>
      </w:pPr>
      <w:r w:rsidRPr="007E54B7">
        <w:rPr>
          <w:rFonts w:ascii="Tahoma" w:hAnsi="Tahoma" w:cs="Tahoma"/>
          <w:sz w:val="20"/>
          <w:szCs w:val="20"/>
        </w:rPr>
        <w:t>El procedimiento para suscribir el contrato ha sido previsto en el numeral 1) del artículo 203 del Reglamento, el cual dispone que dentro de los dos (2) días hábiles siguientes al consentimiento de la buena pro, la Entidad deberá citar al postor ganador, otorgándole un plazo mínimo de cinco (5) días hábiles y máximo de diez (10) días hábiles para suscribir el contrato.  No obstante, si dicho postor tuviera antes del plazo mínimo establecido la documentación completa requerida, podrá presentarse a suscribir el contrato. E</w:t>
      </w:r>
      <w:r w:rsidRPr="007E54B7">
        <w:rPr>
          <w:rFonts w:ascii="Tahoma" w:hAnsi="Tahoma" w:cs="Tahoma"/>
          <w:sz w:val="20"/>
          <w:szCs w:val="20"/>
          <w:lang w:val="es-ES_tradnl"/>
        </w:rPr>
        <w:t>l citado dispositivo reglamentario precisa que, e</w:t>
      </w:r>
      <w:r w:rsidRPr="007E54B7">
        <w:rPr>
          <w:rFonts w:ascii="Tahoma" w:hAnsi="Tahoma" w:cs="Tahoma"/>
          <w:sz w:val="20"/>
          <w:szCs w:val="20"/>
        </w:rPr>
        <w:t>n caso de que el postor no se presente dentro del plazo otorgado, perderá automáticamente la buena pro, sin perjuicio de la imposición administrativamente aplicable.</w:t>
      </w:r>
    </w:p>
    <w:p w:rsidR="007E54B7" w:rsidRDefault="007E54B7" w:rsidP="007E54B7">
      <w:pPr>
        <w:spacing w:line="240" w:lineRule="auto"/>
        <w:ind w:left="539"/>
        <w:jc w:val="both"/>
        <w:rPr>
          <w:rFonts w:ascii="Tahoma" w:hAnsi="Tahoma" w:cs="Tahoma"/>
          <w:sz w:val="20"/>
          <w:szCs w:val="20"/>
          <w:lang w:val="es-ES_tradnl"/>
        </w:rPr>
      </w:pPr>
    </w:p>
    <w:p w:rsidR="007E54B7" w:rsidRPr="007E54B7" w:rsidRDefault="007E54B7" w:rsidP="007E54B7">
      <w:pPr>
        <w:spacing w:line="240" w:lineRule="auto"/>
        <w:ind w:left="539"/>
        <w:jc w:val="both"/>
        <w:rPr>
          <w:rFonts w:ascii="Tahoma" w:hAnsi="Tahoma" w:cs="Tahoma"/>
          <w:sz w:val="20"/>
          <w:szCs w:val="20"/>
        </w:rPr>
      </w:pPr>
      <w:r w:rsidRPr="007E54B7">
        <w:rPr>
          <w:rFonts w:ascii="Tahoma" w:hAnsi="Tahoma" w:cs="Tahoma"/>
          <w:sz w:val="20"/>
          <w:szCs w:val="20"/>
          <w:lang w:val="es-ES_tradnl"/>
        </w:rPr>
        <w:t>El cumplimiento de este procedimiento es condición necesaria para evaluar la existencia de eventuales responsabilidades por la comisión de la infracción tipificada en el numeral 1) del artículo 294 del Reglamento.</w:t>
      </w:r>
    </w:p>
    <w:p w:rsidR="007E54B7" w:rsidRPr="007E54B7" w:rsidRDefault="007E54B7" w:rsidP="007E54B7">
      <w:pPr>
        <w:numPr>
          <w:ilvl w:val="0"/>
          <w:numId w:val="17"/>
        </w:numPr>
        <w:tabs>
          <w:tab w:val="clear" w:pos="360"/>
          <w:tab w:val="num" w:pos="540"/>
        </w:tabs>
        <w:spacing w:after="0" w:line="240" w:lineRule="auto"/>
        <w:ind w:left="540" w:hanging="540"/>
        <w:jc w:val="both"/>
        <w:rPr>
          <w:rFonts w:ascii="Tahoma" w:hAnsi="Tahoma" w:cs="Tahoma"/>
          <w:sz w:val="20"/>
          <w:szCs w:val="20"/>
        </w:rPr>
      </w:pPr>
      <w:r w:rsidRPr="007E54B7">
        <w:rPr>
          <w:rFonts w:ascii="Tahoma" w:hAnsi="Tahoma" w:cs="Tahoma"/>
          <w:sz w:val="20"/>
          <w:szCs w:val="20"/>
        </w:rPr>
        <w:t>Este criterio ha sido recogido, además, en el Acuerdo de Sala Plena N.º 007/2009</w:t>
      </w:r>
      <w:r w:rsidRPr="007E54B7">
        <w:rPr>
          <w:rStyle w:val="Refdenotaalpie"/>
          <w:rFonts w:ascii="Tahoma" w:hAnsi="Tahoma" w:cs="Tahoma"/>
          <w:sz w:val="20"/>
          <w:szCs w:val="20"/>
        </w:rPr>
        <w:footnoteReference w:id="4"/>
      </w:r>
      <w:r w:rsidRPr="007E54B7">
        <w:rPr>
          <w:rFonts w:ascii="Tahoma" w:hAnsi="Tahoma" w:cs="Tahoma"/>
          <w:sz w:val="20"/>
          <w:szCs w:val="20"/>
        </w:rPr>
        <w:t xml:space="preserve"> del 25 de junio de 2009, en el que, por mayoría, se dispuso que </w:t>
      </w:r>
      <w:r w:rsidRPr="007E54B7">
        <w:rPr>
          <w:rFonts w:ascii="Tahoma" w:hAnsi="Tahoma" w:cs="Tahoma"/>
          <w:i/>
          <w:iCs/>
          <w:sz w:val="20"/>
          <w:szCs w:val="20"/>
        </w:rPr>
        <w:t>“(…) en los casos en se comunique la no suscripción injustificada el contrato, las Entidades están obligadas a cumplir y observar estrictamente los plazos y el procedimiento establecido en la normativa para llevar a cabo dicha suscripción, procedimiento cuya inobservancia acarrea la exención de responsabilidad del postor, debiendo declararse no ha lugar el inicio de procedimiento administrativo sancionador y/o la no aplicación de sanción, sin perjuicio de la responsabilidad administrativa de los funcionarios responsables”</w:t>
      </w:r>
      <w:r w:rsidRPr="007E54B7">
        <w:rPr>
          <w:rFonts w:ascii="Tahoma" w:hAnsi="Tahoma" w:cs="Tahoma"/>
          <w:sz w:val="20"/>
          <w:szCs w:val="20"/>
        </w:rPr>
        <w:t>.</w:t>
      </w:r>
    </w:p>
    <w:p w:rsidR="007E54B7" w:rsidRPr="007E54B7" w:rsidRDefault="007E54B7" w:rsidP="007E54B7">
      <w:pPr>
        <w:spacing w:after="0" w:line="240" w:lineRule="auto"/>
        <w:ind w:left="540"/>
        <w:jc w:val="both"/>
        <w:rPr>
          <w:rFonts w:ascii="Tahoma" w:hAnsi="Tahoma" w:cs="Tahoma"/>
          <w:sz w:val="20"/>
          <w:szCs w:val="20"/>
        </w:rPr>
      </w:pPr>
    </w:p>
    <w:p w:rsidR="007E54B7" w:rsidRDefault="007E54B7" w:rsidP="007E54B7">
      <w:pPr>
        <w:numPr>
          <w:ilvl w:val="0"/>
          <w:numId w:val="17"/>
        </w:numPr>
        <w:tabs>
          <w:tab w:val="clear" w:pos="360"/>
          <w:tab w:val="num" w:pos="540"/>
        </w:tabs>
        <w:spacing w:after="0" w:line="240" w:lineRule="auto"/>
        <w:ind w:left="540" w:hanging="540"/>
        <w:jc w:val="both"/>
        <w:rPr>
          <w:rFonts w:ascii="Tahoma" w:hAnsi="Tahoma" w:cs="Tahoma"/>
          <w:sz w:val="20"/>
          <w:szCs w:val="20"/>
        </w:rPr>
      </w:pPr>
      <w:r w:rsidRPr="007E54B7">
        <w:rPr>
          <w:rFonts w:ascii="Tahoma" w:hAnsi="Tahoma" w:cs="Tahoma"/>
          <w:sz w:val="20"/>
          <w:szCs w:val="20"/>
          <w:lang w:val="es-ES_tradnl"/>
        </w:rPr>
        <w:t>En ese orden de ideas, corresponde determinar de manera previa, si la Entidad ha seguido el debido procedimiento para suscribir el contrato.</w:t>
      </w:r>
    </w:p>
    <w:p w:rsidR="007E54B7" w:rsidRDefault="007E54B7" w:rsidP="007E54B7">
      <w:pPr>
        <w:pStyle w:val="Prrafodelista"/>
        <w:rPr>
          <w:rFonts w:ascii="Tahoma" w:hAnsi="Tahoma" w:cs="Tahoma"/>
          <w:sz w:val="20"/>
        </w:rPr>
      </w:pPr>
    </w:p>
    <w:p w:rsidR="007E54B7" w:rsidRPr="007E54B7" w:rsidRDefault="007E54B7" w:rsidP="007E54B7">
      <w:pPr>
        <w:numPr>
          <w:ilvl w:val="0"/>
          <w:numId w:val="17"/>
        </w:numPr>
        <w:tabs>
          <w:tab w:val="clear" w:pos="360"/>
          <w:tab w:val="num" w:pos="540"/>
        </w:tabs>
        <w:spacing w:after="0" w:line="240" w:lineRule="auto"/>
        <w:ind w:left="540" w:hanging="540"/>
        <w:jc w:val="both"/>
        <w:rPr>
          <w:rFonts w:ascii="Tahoma" w:hAnsi="Tahoma" w:cs="Tahoma"/>
          <w:sz w:val="20"/>
          <w:szCs w:val="20"/>
        </w:rPr>
      </w:pPr>
      <w:r w:rsidRPr="007E54B7">
        <w:rPr>
          <w:rFonts w:ascii="Tahoma" w:hAnsi="Tahoma" w:cs="Tahoma"/>
          <w:sz w:val="20"/>
          <w:szCs w:val="20"/>
        </w:rPr>
        <w:t>Fluye de los antecedentes reseñados que en acto público efectuado el 10 de junio de 2008, el Comité Especial otorgó la buena pro al Consorcio Azángaro. Por tanto, de conformidad con lo dispuesto en el artículo 135 del Reglamento, el mismo se entiende notificado a todos los postores en la misma fecha, siendo que, de conformidad con el artículo 137 del Reglamento</w:t>
      </w:r>
      <w:r w:rsidRPr="007E54B7">
        <w:rPr>
          <w:rStyle w:val="Refdenotaalpie"/>
          <w:rFonts w:ascii="Tahoma" w:hAnsi="Tahoma" w:cs="Tahoma"/>
          <w:sz w:val="20"/>
          <w:szCs w:val="20"/>
        </w:rPr>
        <w:footnoteReference w:id="5"/>
      </w:r>
      <w:r w:rsidRPr="007E54B7">
        <w:rPr>
          <w:rFonts w:ascii="Tahoma" w:hAnsi="Tahoma" w:cs="Tahoma"/>
          <w:sz w:val="20"/>
          <w:szCs w:val="20"/>
        </w:rPr>
        <w:t xml:space="preserve">, al haberse presentado una sola oferta, el </w:t>
      </w:r>
      <w:r w:rsidRPr="007E54B7">
        <w:rPr>
          <w:rFonts w:ascii="Tahoma" w:hAnsi="Tahoma" w:cs="Tahoma"/>
          <w:sz w:val="20"/>
          <w:szCs w:val="20"/>
        </w:rPr>
        <w:lastRenderedPageBreak/>
        <w:t xml:space="preserve">consentimiento de la buena pro se produjo el mismo día de su notificación, es decir, </w:t>
      </w:r>
      <w:r w:rsidRPr="007E54B7">
        <w:rPr>
          <w:rFonts w:ascii="Tahoma" w:hAnsi="Tahoma" w:cs="Tahoma"/>
          <w:sz w:val="20"/>
          <w:szCs w:val="20"/>
          <w:u w:val="single"/>
        </w:rPr>
        <w:t>el 10 de junio de 2008</w:t>
      </w:r>
      <w:r w:rsidRPr="007E54B7">
        <w:rPr>
          <w:rFonts w:ascii="Tahoma" w:hAnsi="Tahoma" w:cs="Tahoma"/>
          <w:sz w:val="20"/>
          <w:szCs w:val="20"/>
        </w:rPr>
        <w:t>.</w:t>
      </w:r>
    </w:p>
    <w:p w:rsidR="007E54B7" w:rsidRPr="007E54B7" w:rsidRDefault="007E54B7" w:rsidP="007E54B7">
      <w:pPr>
        <w:pStyle w:val="Prrafodelista"/>
        <w:rPr>
          <w:rFonts w:ascii="Tahoma" w:hAnsi="Tahoma" w:cs="Tahoma"/>
          <w:sz w:val="20"/>
        </w:rPr>
      </w:pPr>
    </w:p>
    <w:p w:rsidR="007E54B7" w:rsidRPr="007E54B7" w:rsidRDefault="007E54B7" w:rsidP="007E54B7">
      <w:pPr>
        <w:numPr>
          <w:ilvl w:val="0"/>
          <w:numId w:val="17"/>
        </w:numPr>
        <w:tabs>
          <w:tab w:val="clear" w:pos="360"/>
          <w:tab w:val="num" w:pos="540"/>
        </w:tabs>
        <w:spacing w:after="0" w:line="240" w:lineRule="auto"/>
        <w:ind w:left="540" w:hanging="540"/>
        <w:jc w:val="both"/>
        <w:rPr>
          <w:rFonts w:ascii="Tahoma" w:hAnsi="Tahoma" w:cs="Tahoma"/>
          <w:sz w:val="20"/>
          <w:szCs w:val="20"/>
        </w:rPr>
      </w:pPr>
      <w:r w:rsidRPr="007E54B7">
        <w:rPr>
          <w:rFonts w:ascii="Tahoma" w:hAnsi="Tahoma" w:cs="Tahoma"/>
          <w:sz w:val="20"/>
          <w:szCs w:val="20"/>
        </w:rPr>
        <w:t>En ese orden de ideas, la Entidad debió citar al Postor dentro de los dos (2) días hábiles siguientes al consentimiento de la buena pro, esto es, hasta el 12 de junio de 2008.  Sin embargo, según se advierte de los antecedentes remitidos por la Entidad</w:t>
      </w:r>
      <w:r w:rsidRPr="007E54B7">
        <w:rPr>
          <w:rStyle w:val="Refdenotaalpie"/>
          <w:rFonts w:ascii="Tahoma" w:hAnsi="Tahoma" w:cs="Tahoma"/>
          <w:sz w:val="20"/>
          <w:szCs w:val="20"/>
        </w:rPr>
        <w:footnoteReference w:id="6"/>
      </w:r>
      <w:r w:rsidRPr="007E54B7">
        <w:rPr>
          <w:rFonts w:ascii="Tahoma" w:hAnsi="Tahoma" w:cs="Tahoma"/>
          <w:sz w:val="20"/>
          <w:szCs w:val="20"/>
        </w:rPr>
        <w:t>, la citación fue realizada el 13 del mismo mes y año, es decir, al tercer día de que se realice el consentimiento de la buena pro.</w:t>
      </w:r>
    </w:p>
    <w:p w:rsidR="007E54B7" w:rsidRDefault="007E54B7" w:rsidP="007E54B7">
      <w:pPr>
        <w:spacing w:after="0" w:line="240" w:lineRule="auto"/>
        <w:ind w:left="540"/>
        <w:jc w:val="both"/>
        <w:rPr>
          <w:rFonts w:ascii="Tahoma" w:hAnsi="Tahoma" w:cs="Tahoma"/>
          <w:sz w:val="20"/>
          <w:szCs w:val="20"/>
        </w:rPr>
      </w:pPr>
    </w:p>
    <w:p w:rsidR="007E54B7" w:rsidRPr="007E54B7" w:rsidRDefault="007E54B7" w:rsidP="007E54B7">
      <w:pPr>
        <w:numPr>
          <w:ilvl w:val="0"/>
          <w:numId w:val="17"/>
        </w:numPr>
        <w:tabs>
          <w:tab w:val="clear" w:pos="360"/>
          <w:tab w:val="num" w:pos="540"/>
        </w:tabs>
        <w:spacing w:after="0" w:line="240" w:lineRule="auto"/>
        <w:ind w:left="540" w:hanging="540"/>
        <w:jc w:val="both"/>
        <w:rPr>
          <w:rFonts w:ascii="Tahoma" w:hAnsi="Tahoma" w:cs="Tahoma"/>
          <w:sz w:val="20"/>
          <w:szCs w:val="20"/>
        </w:rPr>
      </w:pPr>
      <w:r w:rsidRPr="007E54B7">
        <w:rPr>
          <w:rFonts w:ascii="Tahoma" w:hAnsi="Tahoma" w:cs="Tahoma"/>
          <w:sz w:val="20"/>
          <w:szCs w:val="20"/>
        </w:rPr>
        <w:t>Teniendo en cuenta lo expuesto, se aprecia que la Entidad citó extemporáneamente al Consorcio Azángaro para que suscriba el contrato; razón por la cual este Colegiado considera que, al no haber observado el procedimiento establecido en el artículo 203 del Reglamento, no corresponde aplicar sanción administrativa contra la mencionada empresa respecto de los hechos imputados.</w:t>
      </w:r>
    </w:p>
    <w:p w:rsidR="007E54B7" w:rsidRDefault="007E54B7" w:rsidP="007E54B7">
      <w:pPr>
        <w:spacing w:after="0" w:line="240" w:lineRule="auto"/>
        <w:ind w:left="540"/>
        <w:jc w:val="both"/>
        <w:rPr>
          <w:rFonts w:ascii="Tahoma" w:hAnsi="Tahoma" w:cs="Tahoma"/>
          <w:sz w:val="20"/>
          <w:szCs w:val="20"/>
        </w:rPr>
      </w:pPr>
    </w:p>
    <w:p w:rsidR="007E54B7" w:rsidRPr="007E54B7" w:rsidRDefault="007E54B7" w:rsidP="007E54B7">
      <w:pPr>
        <w:numPr>
          <w:ilvl w:val="0"/>
          <w:numId w:val="17"/>
        </w:numPr>
        <w:tabs>
          <w:tab w:val="clear" w:pos="360"/>
          <w:tab w:val="num" w:pos="540"/>
        </w:tabs>
        <w:spacing w:after="0" w:line="240" w:lineRule="auto"/>
        <w:ind w:left="540" w:hanging="540"/>
        <w:jc w:val="both"/>
        <w:rPr>
          <w:rFonts w:ascii="Tahoma" w:hAnsi="Tahoma" w:cs="Tahoma"/>
          <w:sz w:val="20"/>
          <w:szCs w:val="20"/>
        </w:rPr>
      </w:pPr>
      <w:r w:rsidRPr="007E54B7">
        <w:rPr>
          <w:rFonts w:ascii="Tahoma" w:hAnsi="Tahoma" w:cs="Tahoma"/>
          <w:sz w:val="20"/>
          <w:szCs w:val="20"/>
        </w:rPr>
        <w:t>Finalmente, respecto al pedido de los consorciados Agoribich ingenieros S.A.C. y el Sr. Miguel Ángel Chiriboga Rodríguez en reprogramar la diligencia de audiencia pública, este Colegiado considera innecesario convocar nuevamente a dicho acto, pues se cuenta con los elementos necesarios para emitir un juicio acorde a derecho y por ello no se revertirá la posición establecida en la presente ponencia;  adicionalmente, debe indicarse que no se ha vulnerado ningún atributo del derecho de defensa que le asiste al administrado.</w:t>
      </w:r>
    </w:p>
    <w:p w:rsidR="007E54B7" w:rsidRPr="007E54B7" w:rsidRDefault="007E54B7" w:rsidP="007E54B7">
      <w:pPr>
        <w:pStyle w:val="Prrafodelista"/>
        <w:rPr>
          <w:rFonts w:ascii="Tahoma" w:hAnsi="Tahoma" w:cs="Tahoma"/>
          <w:sz w:val="20"/>
        </w:rPr>
      </w:pPr>
    </w:p>
    <w:p w:rsidR="007E54B7" w:rsidRPr="007E54B7" w:rsidRDefault="007E54B7" w:rsidP="007E54B7">
      <w:pPr>
        <w:numPr>
          <w:ilvl w:val="0"/>
          <w:numId w:val="17"/>
        </w:numPr>
        <w:tabs>
          <w:tab w:val="clear" w:pos="360"/>
          <w:tab w:val="num" w:pos="540"/>
        </w:tabs>
        <w:spacing w:after="0" w:line="240" w:lineRule="auto"/>
        <w:ind w:left="540" w:hanging="540"/>
        <w:jc w:val="both"/>
        <w:rPr>
          <w:rFonts w:ascii="Tahoma" w:hAnsi="Tahoma" w:cs="Tahoma"/>
          <w:sz w:val="20"/>
          <w:szCs w:val="20"/>
        </w:rPr>
      </w:pPr>
      <w:r w:rsidRPr="007E54B7">
        <w:rPr>
          <w:rFonts w:ascii="Tahoma" w:hAnsi="Tahoma" w:cs="Tahoma"/>
          <w:sz w:val="20"/>
          <w:szCs w:val="20"/>
        </w:rPr>
        <w:t>Por otro lado, atendiendo a las resultas del presente procedimiento, este Tribunal considera pertinente comunicar los hechos al Órgano de Control Institucional de la Entidad y a la Contraloría General de la República, para que en ejercicio de sus facultades, determine las responsabilidades de los funcionarios encargados de citar al Postor para suscribir el contrato, por la inobservancia de la normativa de contrataciones, de ser el caso.</w:t>
      </w:r>
    </w:p>
    <w:p w:rsidR="007E54B7" w:rsidRPr="007E54B7" w:rsidRDefault="007E54B7" w:rsidP="007E54B7">
      <w:pPr>
        <w:spacing w:after="0" w:line="240" w:lineRule="auto"/>
        <w:ind w:firstLine="567"/>
        <w:jc w:val="both"/>
        <w:rPr>
          <w:rFonts w:ascii="Tahoma" w:hAnsi="Tahoma" w:cs="Tahoma"/>
          <w:sz w:val="20"/>
          <w:szCs w:val="20"/>
        </w:rPr>
      </w:pPr>
    </w:p>
    <w:p w:rsidR="007E54B7" w:rsidRPr="007E54B7" w:rsidRDefault="007E54B7" w:rsidP="007E54B7">
      <w:pPr>
        <w:spacing w:after="0" w:line="240" w:lineRule="auto"/>
        <w:ind w:left="-284" w:firstLine="360"/>
        <w:jc w:val="both"/>
        <w:rPr>
          <w:rFonts w:ascii="Tahoma" w:hAnsi="Tahoma" w:cs="Tahoma"/>
          <w:sz w:val="20"/>
          <w:szCs w:val="20"/>
        </w:rPr>
      </w:pPr>
      <w:r w:rsidRPr="007E54B7">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7E54B7" w:rsidRDefault="007E54B7" w:rsidP="007E54B7">
      <w:pPr>
        <w:spacing w:after="0" w:line="240" w:lineRule="auto"/>
        <w:jc w:val="both"/>
        <w:rPr>
          <w:rFonts w:ascii="Tahoma" w:hAnsi="Tahoma" w:cs="Tahoma"/>
          <w:sz w:val="20"/>
          <w:szCs w:val="20"/>
        </w:rPr>
      </w:pPr>
    </w:p>
    <w:p w:rsidR="006A6615" w:rsidRDefault="006A6615" w:rsidP="007E54B7">
      <w:pPr>
        <w:spacing w:after="0" w:line="240" w:lineRule="auto"/>
        <w:jc w:val="both"/>
        <w:rPr>
          <w:rFonts w:ascii="Tahoma" w:hAnsi="Tahoma" w:cs="Tahoma"/>
          <w:sz w:val="20"/>
          <w:szCs w:val="20"/>
        </w:rPr>
      </w:pPr>
    </w:p>
    <w:p w:rsidR="006A6615" w:rsidRPr="007E54B7" w:rsidRDefault="006A6615" w:rsidP="007E54B7">
      <w:pPr>
        <w:spacing w:after="0" w:line="240" w:lineRule="auto"/>
        <w:jc w:val="both"/>
        <w:rPr>
          <w:rFonts w:ascii="Tahoma" w:hAnsi="Tahoma" w:cs="Tahoma"/>
          <w:sz w:val="20"/>
          <w:szCs w:val="20"/>
        </w:rPr>
      </w:pPr>
    </w:p>
    <w:p w:rsidR="007E54B7" w:rsidRPr="007E54B7" w:rsidRDefault="007E54B7" w:rsidP="007E54B7">
      <w:pPr>
        <w:spacing w:after="0" w:line="240" w:lineRule="auto"/>
        <w:ind w:right="-315"/>
        <w:jc w:val="both"/>
        <w:rPr>
          <w:rFonts w:ascii="Tahoma" w:hAnsi="Tahoma" w:cs="Tahoma"/>
          <w:b/>
          <w:sz w:val="20"/>
          <w:szCs w:val="20"/>
        </w:rPr>
      </w:pPr>
      <w:r w:rsidRPr="007E54B7">
        <w:rPr>
          <w:rFonts w:ascii="Tahoma" w:hAnsi="Tahoma" w:cs="Tahoma"/>
          <w:b/>
          <w:sz w:val="20"/>
          <w:szCs w:val="20"/>
        </w:rPr>
        <w:t>LA SALA RESUELVE:</w:t>
      </w:r>
    </w:p>
    <w:p w:rsidR="007E54B7" w:rsidRDefault="007E54B7" w:rsidP="007E54B7">
      <w:pPr>
        <w:tabs>
          <w:tab w:val="left" w:pos="0"/>
        </w:tabs>
        <w:spacing w:after="0" w:line="240" w:lineRule="auto"/>
        <w:ind w:left="540"/>
        <w:jc w:val="both"/>
        <w:rPr>
          <w:rFonts w:ascii="Tahoma" w:hAnsi="Tahoma" w:cs="Tahoma"/>
          <w:sz w:val="20"/>
          <w:szCs w:val="20"/>
          <w:lang w:val="es-ES_tradnl"/>
        </w:rPr>
      </w:pPr>
    </w:p>
    <w:p w:rsidR="007E54B7" w:rsidRPr="007E54B7" w:rsidRDefault="007E54B7" w:rsidP="007E54B7">
      <w:pPr>
        <w:numPr>
          <w:ilvl w:val="0"/>
          <w:numId w:val="18"/>
        </w:numPr>
        <w:tabs>
          <w:tab w:val="clear" w:pos="720"/>
          <w:tab w:val="left" w:pos="0"/>
          <w:tab w:val="num" w:pos="540"/>
        </w:tabs>
        <w:spacing w:after="0" w:line="240" w:lineRule="auto"/>
        <w:ind w:left="540" w:hanging="540"/>
        <w:jc w:val="both"/>
        <w:rPr>
          <w:rFonts w:ascii="Tahoma" w:hAnsi="Tahoma" w:cs="Tahoma"/>
          <w:sz w:val="20"/>
          <w:szCs w:val="20"/>
          <w:lang w:val="es-ES_tradnl"/>
        </w:rPr>
      </w:pPr>
      <w:r w:rsidRPr="007E54B7">
        <w:rPr>
          <w:rFonts w:ascii="Tahoma" w:hAnsi="Tahoma" w:cs="Tahoma"/>
          <w:sz w:val="20"/>
          <w:szCs w:val="20"/>
          <w:lang w:val="es-ES_tradnl"/>
        </w:rPr>
        <w:lastRenderedPageBreak/>
        <w:t xml:space="preserve">Declarar No ha lugar a la aplicación de sanción al </w:t>
      </w:r>
      <w:r w:rsidRPr="007E54B7">
        <w:rPr>
          <w:rFonts w:ascii="Tahoma" w:hAnsi="Tahoma" w:cs="Tahoma"/>
          <w:b/>
          <w:bCs/>
          <w:color w:val="444444"/>
          <w:sz w:val="20"/>
          <w:szCs w:val="20"/>
        </w:rPr>
        <w:t>CONSORCIO AZANGARO conformado por  AGOBIRICH INGENIEROS S. A. C, ING. MIGUEL ANGEL CHIRIBOGA RODRIGUEZ, CESAR ALFREDO FUENTES ORTIZ, EDGAR FRANCISCO ARELLANOS GOMEZ</w:t>
      </w:r>
      <w:r w:rsidRPr="007E54B7">
        <w:rPr>
          <w:rFonts w:ascii="Tahoma" w:hAnsi="Tahoma" w:cs="Tahoma"/>
          <w:sz w:val="20"/>
          <w:szCs w:val="20"/>
        </w:rPr>
        <w:t>, por los fundamentos expuestos, debiendo archivarse el presente procedimiento.</w:t>
      </w:r>
    </w:p>
    <w:p w:rsidR="007E54B7" w:rsidRPr="007E54B7" w:rsidRDefault="007E54B7" w:rsidP="007E54B7">
      <w:pPr>
        <w:tabs>
          <w:tab w:val="left" w:pos="0"/>
        </w:tabs>
        <w:spacing w:line="240" w:lineRule="auto"/>
        <w:ind w:left="540"/>
        <w:rPr>
          <w:rFonts w:ascii="Tahoma" w:hAnsi="Tahoma" w:cs="Tahoma"/>
          <w:sz w:val="20"/>
          <w:szCs w:val="20"/>
          <w:lang w:val="es-ES_tradnl"/>
        </w:rPr>
      </w:pPr>
    </w:p>
    <w:p w:rsidR="007E54B7" w:rsidRPr="007E54B7" w:rsidRDefault="007E54B7" w:rsidP="007E54B7">
      <w:pPr>
        <w:numPr>
          <w:ilvl w:val="0"/>
          <w:numId w:val="18"/>
        </w:numPr>
        <w:tabs>
          <w:tab w:val="clear" w:pos="720"/>
          <w:tab w:val="left" w:pos="0"/>
          <w:tab w:val="num" w:pos="540"/>
        </w:tabs>
        <w:spacing w:after="0" w:line="240" w:lineRule="auto"/>
        <w:ind w:left="540" w:hanging="540"/>
        <w:jc w:val="both"/>
        <w:rPr>
          <w:rFonts w:ascii="Tahoma" w:hAnsi="Tahoma" w:cs="Tahoma"/>
          <w:sz w:val="20"/>
          <w:szCs w:val="20"/>
          <w:lang w:val="es-ES_tradnl"/>
        </w:rPr>
      </w:pPr>
      <w:r w:rsidRPr="007E54B7">
        <w:rPr>
          <w:rFonts w:ascii="Tahoma" w:hAnsi="Tahoma" w:cs="Tahoma"/>
          <w:sz w:val="20"/>
          <w:szCs w:val="20"/>
        </w:rPr>
        <w:t>Comunicar los hechos al Órgano de Control Institucional de la Entidad y a la Contraloría General de la República, para que en ejercicio de sus facultades, determine las responsabilidades de los funcionarios encargados de citar al Postor para suscribir el contrato, por la inobservancia de la normativa de contrataciones</w:t>
      </w:r>
    </w:p>
    <w:p w:rsidR="007E54B7" w:rsidRPr="007E54B7" w:rsidRDefault="007E54B7" w:rsidP="007E54B7">
      <w:pPr>
        <w:spacing w:line="240" w:lineRule="auto"/>
        <w:rPr>
          <w:rFonts w:ascii="Tahoma" w:hAnsi="Tahoma" w:cs="Tahoma"/>
          <w:sz w:val="20"/>
          <w:szCs w:val="20"/>
          <w:lang w:val="es-ES_tradnl"/>
        </w:rPr>
      </w:pPr>
    </w:p>
    <w:p w:rsidR="007E54B7" w:rsidRPr="007E54B7" w:rsidRDefault="007E54B7" w:rsidP="007E54B7">
      <w:pPr>
        <w:pStyle w:val="Ttulo3"/>
        <w:spacing w:line="240" w:lineRule="auto"/>
        <w:jc w:val="both"/>
        <w:rPr>
          <w:rFonts w:ascii="Tahoma" w:hAnsi="Tahoma" w:cs="Tahoma"/>
          <w:b w:val="0"/>
          <w:bCs w:val="0"/>
          <w:sz w:val="20"/>
          <w:szCs w:val="20"/>
        </w:rPr>
      </w:pPr>
      <w:r w:rsidRPr="007E54B7">
        <w:rPr>
          <w:rFonts w:ascii="Tahoma" w:hAnsi="Tahoma" w:cs="Tahoma"/>
          <w:b w:val="0"/>
          <w:sz w:val="20"/>
          <w:szCs w:val="20"/>
        </w:rPr>
        <w:t>Regístrese, comuníquese y publíquese.</w:t>
      </w:r>
    </w:p>
    <w:p w:rsidR="007E54B7" w:rsidRPr="007E54B7" w:rsidRDefault="007E54B7" w:rsidP="007E54B7">
      <w:pPr>
        <w:spacing w:after="0" w:line="240" w:lineRule="auto"/>
        <w:jc w:val="both"/>
        <w:rPr>
          <w:rFonts w:ascii="Tahoma" w:hAnsi="Tahoma" w:cs="Tahoma"/>
          <w:b/>
          <w:shadow/>
          <w:sz w:val="20"/>
          <w:szCs w:val="20"/>
        </w:rPr>
      </w:pPr>
    </w:p>
    <w:p w:rsidR="007E54B7" w:rsidRPr="007E54B7" w:rsidRDefault="007E54B7" w:rsidP="007E54B7">
      <w:pPr>
        <w:spacing w:after="0" w:line="240" w:lineRule="auto"/>
        <w:jc w:val="both"/>
        <w:rPr>
          <w:rFonts w:ascii="Tahoma" w:hAnsi="Tahoma" w:cs="Tahoma"/>
          <w:b/>
          <w:shadow/>
          <w:sz w:val="20"/>
          <w:szCs w:val="20"/>
        </w:rPr>
      </w:pPr>
    </w:p>
    <w:p w:rsidR="007E54B7" w:rsidRPr="007E54B7" w:rsidRDefault="007E54B7" w:rsidP="007E54B7">
      <w:pPr>
        <w:spacing w:after="0" w:line="240" w:lineRule="auto"/>
        <w:jc w:val="both"/>
        <w:rPr>
          <w:rFonts w:ascii="Tahoma" w:hAnsi="Tahoma" w:cs="Tahoma"/>
          <w:b/>
          <w:shadow/>
          <w:sz w:val="20"/>
          <w:szCs w:val="20"/>
        </w:rPr>
      </w:pPr>
    </w:p>
    <w:p w:rsidR="007E54B7" w:rsidRPr="007E54B7" w:rsidRDefault="007E54B7" w:rsidP="007E54B7">
      <w:pPr>
        <w:spacing w:after="0" w:line="240" w:lineRule="auto"/>
        <w:ind w:left="2832" w:firstLine="708"/>
        <w:jc w:val="both"/>
        <w:rPr>
          <w:rFonts w:ascii="Tahoma" w:hAnsi="Tahoma" w:cs="Tahoma"/>
          <w:b/>
          <w:shadow/>
          <w:sz w:val="20"/>
          <w:szCs w:val="20"/>
        </w:rPr>
      </w:pPr>
      <w:r w:rsidRPr="007E54B7">
        <w:rPr>
          <w:rFonts w:ascii="Tahoma" w:hAnsi="Tahoma" w:cs="Tahoma"/>
          <w:b/>
          <w:shadow/>
          <w:sz w:val="20"/>
          <w:szCs w:val="20"/>
        </w:rPr>
        <w:t>PRESIDENTE</w:t>
      </w:r>
    </w:p>
    <w:p w:rsidR="007E54B7" w:rsidRPr="007E54B7" w:rsidRDefault="007E54B7" w:rsidP="007E54B7">
      <w:pPr>
        <w:spacing w:after="0" w:line="240" w:lineRule="auto"/>
        <w:jc w:val="both"/>
        <w:rPr>
          <w:rFonts w:ascii="Tahoma" w:hAnsi="Tahoma" w:cs="Tahoma"/>
          <w:b/>
          <w:shadow/>
          <w:sz w:val="20"/>
          <w:szCs w:val="20"/>
        </w:rPr>
      </w:pPr>
    </w:p>
    <w:p w:rsidR="007E54B7" w:rsidRPr="007E54B7" w:rsidRDefault="007E54B7" w:rsidP="007E54B7">
      <w:pPr>
        <w:spacing w:after="0" w:line="240" w:lineRule="auto"/>
        <w:jc w:val="both"/>
        <w:rPr>
          <w:rFonts w:ascii="Tahoma" w:hAnsi="Tahoma" w:cs="Tahoma"/>
          <w:b/>
          <w:shadow/>
          <w:sz w:val="20"/>
          <w:szCs w:val="20"/>
        </w:rPr>
      </w:pPr>
    </w:p>
    <w:p w:rsidR="007E54B7" w:rsidRPr="007E54B7" w:rsidRDefault="007E54B7" w:rsidP="007E54B7">
      <w:pPr>
        <w:spacing w:after="0" w:line="240" w:lineRule="auto"/>
        <w:jc w:val="both"/>
        <w:rPr>
          <w:rFonts w:ascii="Tahoma" w:hAnsi="Tahoma" w:cs="Tahoma"/>
          <w:b/>
          <w:shadow/>
          <w:sz w:val="20"/>
          <w:szCs w:val="20"/>
        </w:rPr>
      </w:pPr>
    </w:p>
    <w:p w:rsidR="007E54B7" w:rsidRPr="007E54B7" w:rsidRDefault="007E54B7" w:rsidP="007E54B7">
      <w:pPr>
        <w:spacing w:after="0" w:line="240" w:lineRule="auto"/>
        <w:jc w:val="both"/>
        <w:rPr>
          <w:rFonts w:ascii="Tahoma" w:hAnsi="Tahoma" w:cs="Tahoma"/>
          <w:b/>
          <w:shadow/>
          <w:sz w:val="20"/>
          <w:szCs w:val="20"/>
        </w:rPr>
      </w:pPr>
    </w:p>
    <w:p w:rsidR="007E54B7" w:rsidRPr="007E54B7" w:rsidRDefault="007E54B7" w:rsidP="007E54B7">
      <w:pPr>
        <w:spacing w:after="0" w:line="240" w:lineRule="auto"/>
        <w:jc w:val="both"/>
        <w:rPr>
          <w:rFonts w:ascii="Tahoma" w:hAnsi="Tahoma" w:cs="Tahoma"/>
          <w:shadow/>
          <w:sz w:val="20"/>
          <w:szCs w:val="20"/>
        </w:rPr>
      </w:pPr>
      <w:r w:rsidRPr="007E54B7">
        <w:rPr>
          <w:rFonts w:ascii="Tahoma" w:hAnsi="Tahoma" w:cs="Tahoma"/>
          <w:b/>
          <w:shadow/>
          <w:sz w:val="20"/>
          <w:szCs w:val="20"/>
        </w:rPr>
        <w:t xml:space="preserve">                   VOCAL</w:t>
      </w:r>
      <w:r w:rsidRPr="007E54B7">
        <w:rPr>
          <w:rFonts w:ascii="Tahoma" w:hAnsi="Tahoma" w:cs="Tahoma"/>
          <w:b/>
          <w:shadow/>
          <w:sz w:val="20"/>
          <w:szCs w:val="20"/>
        </w:rPr>
        <w:tab/>
      </w:r>
      <w:r w:rsidRPr="007E54B7">
        <w:rPr>
          <w:rFonts w:ascii="Tahoma" w:hAnsi="Tahoma" w:cs="Tahoma"/>
          <w:b/>
          <w:shadow/>
          <w:sz w:val="20"/>
          <w:szCs w:val="20"/>
        </w:rPr>
        <w:tab/>
      </w:r>
      <w:r w:rsidRPr="007E54B7">
        <w:rPr>
          <w:rFonts w:ascii="Tahoma" w:hAnsi="Tahoma" w:cs="Tahoma"/>
          <w:b/>
          <w:shadow/>
          <w:sz w:val="20"/>
          <w:szCs w:val="20"/>
        </w:rPr>
        <w:tab/>
      </w:r>
      <w:r w:rsidRPr="007E54B7">
        <w:rPr>
          <w:rFonts w:ascii="Tahoma" w:hAnsi="Tahoma" w:cs="Tahoma"/>
          <w:b/>
          <w:shadow/>
          <w:sz w:val="20"/>
          <w:szCs w:val="20"/>
        </w:rPr>
        <w:tab/>
      </w:r>
      <w:r w:rsidRPr="007E54B7">
        <w:rPr>
          <w:rFonts w:ascii="Tahoma" w:hAnsi="Tahoma" w:cs="Tahoma"/>
          <w:b/>
          <w:shadow/>
          <w:sz w:val="20"/>
          <w:szCs w:val="20"/>
        </w:rPr>
        <w:tab/>
      </w:r>
      <w:r w:rsidRPr="007E54B7">
        <w:rPr>
          <w:rFonts w:ascii="Tahoma" w:hAnsi="Tahoma" w:cs="Tahoma"/>
          <w:b/>
          <w:shadow/>
          <w:sz w:val="20"/>
          <w:szCs w:val="20"/>
        </w:rPr>
        <w:tab/>
      </w:r>
      <w:r w:rsidRPr="007E54B7">
        <w:rPr>
          <w:rFonts w:ascii="Tahoma" w:hAnsi="Tahoma" w:cs="Tahoma"/>
          <w:b/>
          <w:shadow/>
          <w:sz w:val="20"/>
          <w:szCs w:val="20"/>
        </w:rPr>
        <w:tab/>
      </w:r>
      <w:r w:rsidRPr="007E54B7">
        <w:rPr>
          <w:rFonts w:ascii="Tahoma" w:hAnsi="Tahoma" w:cs="Tahoma"/>
          <w:b/>
          <w:shadow/>
          <w:sz w:val="20"/>
          <w:szCs w:val="20"/>
        </w:rPr>
        <w:tab/>
        <w:t xml:space="preserve">VOCAL                                                                 </w:t>
      </w:r>
    </w:p>
    <w:p w:rsidR="007E54B7" w:rsidRPr="007E54B7" w:rsidRDefault="007E54B7" w:rsidP="007E54B7">
      <w:pPr>
        <w:spacing w:after="0" w:line="240" w:lineRule="auto"/>
        <w:jc w:val="both"/>
        <w:rPr>
          <w:rFonts w:ascii="Tahoma" w:hAnsi="Tahoma" w:cs="Tahoma"/>
          <w:sz w:val="20"/>
          <w:szCs w:val="20"/>
        </w:rPr>
      </w:pPr>
    </w:p>
    <w:p w:rsidR="007E54B7" w:rsidRPr="007E54B7" w:rsidRDefault="007E54B7" w:rsidP="007E54B7">
      <w:pPr>
        <w:spacing w:after="0" w:line="240" w:lineRule="auto"/>
        <w:jc w:val="both"/>
        <w:rPr>
          <w:rFonts w:ascii="Tahoma" w:hAnsi="Tahoma" w:cs="Tahoma"/>
          <w:sz w:val="20"/>
          <w:szCs w:val="20"/>
        </w:rPr>
      </w:pPr>
    </w:p>
    <w:p w:rsidR="007E54B7" w:rsidRPr="007E54B7" w:rsidRDefault="007E54B7" w:rsidP="007E54B7">
      <w:pPr>
        <w:spacing w:after="0" w:line="240" w:lineRule="auto"/>
        <w:jc w:val="both"/>
        <w:rPr>
          <w:rFonts w:ascii="Tahoma" w:hAnsi="Tahoma" w:cs="Tahoma"/>
          <w:sz w:val="20"/>
          <w:szCs w:val="20"/>
        </w:rPr>
      </w:pPr>
    </w:p>
    <w:p w:rsidR="007E54B7" w:rsidRPr="007E54B7" w:rsidRDefault="007E54B7" w:rsidP="007E54B7">
      <w:pPr>
        <w:spacing w:after="0" w:line="240" w:lineRule="auto"/>
        <w:jc w:val="both"/>
        <w:rPr>
          <w:rFonts w:ascii="Tahoma" w:hAnsi="Tahoma" w:cs="Tahoma"/>
          <w:sz w:val="20"/>
          <w:szCs w:val="20"/>
        </w:rPr>
      </w:pPr>
    </w:p>
    <w:p w:rsidR="007E54B7" w:rsidRPr="007E54B7" w:rsidRDefault="007E54B7" w:rsidP="007E54B7">
      <w:pPr>
        <w:spacing w:after="0" w:line="240" w:lineRule="auto"/>
        <w:jc w:val="both"/>
        <w:rPr>
          <w:rFonts w:ascii="Tahoma" w:hAnsi="Tahoma" w:cs="Tahoma"/>
          <w:sz w:val="20"/>
          <w:szCs w:val="20"/>
        </w:rPr>
      </w:pPr>
    </w:p>
    <w:p w:rsidR="007E54B7" w:rsidRPr="007E54B7" w:rsidRDefault="007E54B7" w:rsidP="007E54B7">
      <w:pPr>
        <w:spacing w:after="0" w:line="240" w:lineRule="auto"/>
        <w:jc w:val="both"/>
        <w:rPr>
          <w:rFonts w:ascii="Tahoma" w:hAnsi="Tahoma" w:cs="Tahoma"/>
          <w:sz w:val="20"/>
          <w:szCs w:val="20"/>
        </w:rPr>
      </w:pPr>
    </w:p>
    <w:p w:rsidR="007E54B7" w:rsidRPr="007E54B7" w:rsidRDefault="007E54B7" w:rsidP="007E54B7">
      <w:pPr>
        <w:spacing w:after="0" w:line="240" w:lineRule="auto"/>
        <w:jc w:val="both"/>
        <w:rPr>
          <w:rFonts w:ascii="Tahoma" w:hAnsi="Tahoma" w:cs="Tahoma"/>
          <w:sz w:val="20"/>
          <w:szCs w:val="20"/>
        </w:rPr>
      </w:pPr>
      <w:r w:rsidRPr="007E54B7">
        <w:rPr>
          <w:rFonts w:ascii="Tahoma" w:hAnsi="Tahoma" w:cs="Tahoma"/>
          <w:sz w:val="20"/>
          <w:szCs w:val="20"/>
        </w:rPr>
        <w:t>ss.</w:t>
      </w:r>
    </w:p>
    <w:p w:rsidR="007E54B7" w:rsidRPr="007E54B7" w:rsidRDefault="007E54B7" w:rsidP="007E54B7">
      <w:pPr>
        <w:spacing w:after="0" w:line="240" w:lineRule="auto"/>
        <w:jc w:val="both"/>
        <w:rPr>
          <w:rFonts w:ascii="Tahoma" w:hAnsi="Tahoma" w:cs="Tahoma"/>
          <w:sz w:val="20"/>
          <w:szCs w:val="20"/>
        </w:rPr>
      </w:pPr>
      <w:r w:rsidRPr="007E54B7">
        <w:rPr>
          <w:rFonts w:ascii="Tahoma" w:hAnsi="Tahoma" w:cs="Tahoma"/>
          <w:sz w:val="20"/>
          <w:szCs w:val="20"/>
        </w:rPr>
        <w:t>Navas Rondón.</w:t>
      </w:r>
    </w:p>
    <w:p w:rsidR="007E54B7" w:rsidRPr="007E54B7" w:rsidRDefault="007E54B7" w:rsidP="007E54B7">
      <w:pPr>
        <w:spacing w:after="0" w:line="240" w:lineRule="auto"/>
        <w:jc w:val="both"/>
        <w:rPr>
          <w:rFonts w:ascii="Tahoma" w:hAnsi="Tahoma" w:cs="Tahoma"/>
          <w:sz w:val="20"/>
          <w:szCs w:val="20"/>
        </w:rPr>
      </w:pPr>
      <w:r w:rsidRPr="007E54B7">
        <w:rPr>
          <w:rFonts w:ascii="Tahoma" w:hAnsi="Tahoma" w:cs="Tahoma"/>
          <w:sz w:val="20"/>
          <w:szCs w:val="20"/>
        </w:rPr>
        <w:t>Ramírez Maynetto.</w:t>
      </w:r>
    </w:p>
    <w:p w:rsidR="007E54B7" w:rsidRPr="007E54B7" w:rsidRDefault="007E54B7" w:rsidP="007E54B7">
      <w:pPr>
        <w:spacing w:after="0" w:line="240" w:lineRule="auto"/>
        <w:jc w:val="both"/>
        <w:rPr>
          <w:rFonts w:ascii="Tahoma" w:hAnsi="Tahoma" w:cs="Tahoma"/>
          <w:sz w:val="20"/>
          <w:szCs w:val="20"/>
        </w:rPr>
      </w:pPr>
      <w:r w:rsidRPr="007E54B7">
        <w:rPr>
          <w:rFonts w:ascii="Tahoma" w:hAnsi="Tahoma" w:cs="Tahoma"/>
          <w:sz w:val="20"/>
          <w:szCs w:val="20"/>
        </w:rPr>
        <w:t xml:space="preserve">Basulto Liewald, </w:t>
      </w:r>
    </w:p>
    <w:p w:rsidR="007E54B7" w:rsidRPr="007E54B7" w:rsidRDefault="007E54B7" w:rsidP="007E54B7">
      <w:pPr>
        <w:spacing w:line="240" w:lineRule="auto"/>
        <w:rPr>
          <w:rFonts w:ascii="Tahoma" w:hAnsi="Tahoma" w:cs="Tahoma"/>
          <w:sz w:val="20"/>
          <w:szCs w:val="20"/>
        </w:rPr>
      </w:pPr>
    </w:p>
    <w:p w:rsidR="007E54B7" w:rsidRPr="007E54B7" w:rsidRDefault="007E54B7" w:rsidP="007E54B7">
      <w:pPr>
        <w:spacing w:line="240" w:lineRule="auto"/>
        <w:rPr>
          <w:rFonts w:ascii="Tahoma" w:hAnsi="Tahoma" w:cs="Tahoma"/>
          <w:sz w:val="20"/>
          <w:szCs w:val="20"/>
        </w:rPr>
      </w:pPr>
    </w:p>
    <w:p w:rsidR="00015697" w:rsidRPr="007E54B7" w:rsidRDefault="00015697" w:rsidP="007E54B7">
      <w:pPr>
        <w:spacing w:line="240" w:lineRule="auto"/>
        <w:rPr>
          <w:rFonts w:ascii="Tahoma" w:hAnsi="Tahoma" w:cs="Tahoma"/>
          <w:sz w:val="20"/>
          <w:szCs w:val="20"/>
        </w:rPr>
      </w:pPr>
    </w:p>
    <w:sectPr w:rsidR="00015697" w:rsidRPr="007E54B7" w:rsidSect="00015697">
      <w:headerReference w:type="default" r:id="rId7"/>
      <w:footerReference w:type="default" r:id="rId8"/>
      <w:pgSz w:w="11906" w:h="16838"/>
      <w:pgMar w:top="2836" w:right="1700" w:bottom="1418"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23B1" w:rsidRDefault="009223B1" w:rsidP="007E54B7">
      <w:pPr>
        <w:spacing w:after="0" w:line="240" w:lineRule="auto"/>
      </w:pPr>
      <w:r>
        <w:separator/>
      </w:r>
    </w:p>
  </w:endnote>
  <w:endnote w:type="continuationSeparator" w:id="1">
    <w:p w:rsidR="009223B1" w:rsidRDefault="009223B1" w:rsidP="007E54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3B5" w:rsidRPr="00FD5A0C" w:rsidRDefault="005E43B5">
    <w:pPr>
      <w:pStyle w:val="Piedepgina"/>
      <w:jc w:val="center"/>
      <w:rPr>
        <w:rFonts w:ascii="Tahoma" w:hAnsi="Tahoma" w:cs="Tahoma"/>
        <w:i/>
        <w:sz w:val="18"/>
        <w:szCs w:val="18"/>
      </w:rPr>
    </w:pPr>
    <w:r w:rsidRPr="00FD5A0C">
      <w:rPr>
        <w:rFonts w:ascii="Tahoma" w:hAnsi="Tahoma" w:cs="Tahoma"/>
        <w:i/>
        <w:sz w:val="18"/>
        <w:szCs w:val="18"/>
      </w:rPr>
      <w:t xml:space="preserve">Página </w:t>
    </w:r>
    <w:r w:rsidR="00B320C8" w:rsidRPr="00FD5A0C">
      <w:rPr>
        <w:rFonts w:ascii="Tahoma" w:hAnsi="Tahoma" w:cs="Tahoma"/>
        <w:i/>
        <w:sz w:val="18"/>
        <w:szCs w:val="18"/>
      </w:rPr>
      <w:fldChar w:fldCharType="begin"/>
    </w:r>
    <w:r w:rsidRPr="00FD5A0C">
      <w:rPr>
        <w:rFonts w:ascii="Tahoma" w:hAnsi="Tahoma" w:cs="Tahoma"/>
        <w:i/>
        <w:sz w:val="18"/>
        <w:szCs w:val="18"/>
      </w:rPr>
      <w:instrText>PAGE</w:instrText>
    </w:r>
    <w:r w:rsidR="00B320C8" w:rsidRPr="00FD5A0C">
      <w:rPr>
        <w:rFonts w:ascii="Tahoma" w:hAnsi="Tahoma" w:cs="Tahoma"/>
        <w:i/>
        <w:sz w:val="18"/>
        <w:szCs w:val="18"/>
      </w:rPr>
      <w:fldChar w:fldCharType="separate"/>
    </w:r>
    <w:r w:rsidR="005247C6">
      <w:rPr>
        <w:rFonts w:ascii="Tahoma" w:hAnsi="Tahoma" w:cs="Tahoma"/>
        <w:i/>
        <w:noProof/>
        <w:sz w:val="18"/>
        <w:szCs w:val="18"/>
      </w:rPr>
      <w:t>1</w:t>
    </w:r>
    <w:r w:rsidR="00B320C8" w:rsidRPr="00FD5A0C">
      <w:rPr>
        <w:rFonts w:ascii="Tahoma" w:hAnsi="Tahoma" w:cs="Tahoma"/>
        <w:i/>
        <w:sz w:val="18"/>
        <w:szCs w:val="18"/>
      </w:rPr>
      <w:fldChar w:fldCharType="end"/>
    </w:r>
    <w:r w:rsidRPr="00FD5A0C">
      <w:rPr>
        <w:rFonts w:ascii="Tahoma" w:hAnsi="Tahoma" w:cs="Tahoma"/>
        <w:i/>
        <w:sz w:val="18"/>
        <w:szCs w:val="18"/>
      </w:rPr>
      <w:t xml:space="preserve"> de </w:t>
    </w:r>
    <w:r w:rsidR="00B320C8" w:rsidRPr="00FD5A0C">
      <w:rPr>
        <w:rFonts w:ascii="Tahoma" w:hAnsi="Tahoma" w:cs="Tahoma"/>
        <w:i/>
        <w:sz w:val="18"/>
        <w:szCs w:val="18"/>
      </w:rPr>
      <w:fldChar w:fldCharType="begin"/>
    </w:r>
    <w:r w:rsidRPr="00FD5A0C">
      <w:rPr>
        <w:rFonts w:ascii="Tahoma" w:hAnsi="Tahoma" w:cs="Tahoma"/>
        <w:i/>
        <w:sz w:val="18"/>
        <w:szCs w:val="18"/>
      </w:rPr>
      <w:instrText>NUMPAGES</w:instrText>
    </w:r>
    <w:r w:rsidR="00B320C8" w:rsidRPr="00FD5A0C">
      <w:rPr>
        <w:rFonts w:ascii="Tahoma" w:hAnsi="Tahoma" w:cs="Tahoma"/>
        <w:i/>
        <w:sz w:val="18"/>
        <w:szCs w:val="18"/>
      </w:rPr>
      <w:fldChar w:fldCharType="separate"/>
    </w:r>
    <w:r w:rsidR="005247C6">
      <w:rPr>
        <w:rFonts w:ascii="Tahoma" w:hAnsi="Tahoma" w:cs="Tahoma"/>
        <w:i/>
        <w:noProof/>
        <w:sz w:val="18"/>
        <w:szCs w:val="18"/>
      </w:rPr>
      <w:t>7</w:t>
    </w:r>
    <w:r w:rsidR="00B320C8" w:rsidRPr="00FD5A0C">
      <w:rPr>
        <w:rFonts w:ascii="Tahoma" w:hAnsi="Tahoma" w:cs="Tahoma"/>
        <w:i/>
        <w:sz w:val="18"/>
        <w:szCs w:val="18"/>
      </w:rPr>
      <w:fldChar w:fldCharType="end"/>
    </w:r>
  </w:p>
  <w:p w:rsidR="005E43B5" w:rsidRDefault="005E43B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23B1" w:rsidRDefault="009223B1" w:rsidP="007E54B7">
      <w:pPr>
        <w:spacing w:after="0" w:line="240" w:lineRule="auto"/>
      </w:pPr>
      <w:r>
        <w:separator/>
      </w:r>
    </w:p>
  </w:footnote>
  <w:footnote w:type="continuationSeparator" w:id="1">
    <w:p w:rsidR="009223B1" w:rsidRDefault="009223B1" w:rsidP="007E54B7">
      <w:pPr>
        <w:spacing w:after="0" w:line="240" w:lineRule="auto"/>
      </w:pPr>
      <w:r>
        <w:continuationSeparator/>
      </w:r>
    </w:p>
  </w:footnote>
  <w:footnote w:id="2">
    <w:p w:rsidR="005E43B5" w:rsidRPr="00082E4D" w:rsidRDefault="005E43B5" w:rsidP="007E54B7">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sz w:val="16"/>
          <w:szCs w:val="16"/>
          <w:lang w:val="es-ES_tradnl"/>
        </w:rPr>
      </w:pPr>
      <w:r w:rsidRPr="00082E4D">
        <w:rPr>
          <w:rStyle w:val="Refdenotaalpie"/>
          <w:rFonts w:eastAsia="MS Mincho"/>
          <w:i/>
          <w:iCs/>
          <w:sz w:val="16"/>
          <w:szCs w:val="16"/>
        </w:rPr>
        <w:footnoteRef/>
      </w:r>
      <w:r w:rsidRPr="00082E4D">
        <w:rPr>
          <w:i/>
          <w:iCs/>
          <w:sz w:val="16"/>
          <w:szCs w:val="16"/>
        </w:rPr>
        <w:t xml:space="preserve"> </w:t>
      </w:r>
      <w:r w:rsidRPr="00082E4D">
        <w:rPr>
          <w:b/>
          <w:bCs/>
          <w:i/>
          <w:iCs/>
          <w:sz w:val="16"/>
          <w:szCs w:val="16"/>
          <w:lang w:val="es-ES_tradnl"/>
        </w:rPr>
        <w:t xml:space="preserve">Artículo 294.- Causales de aplicación de sanción a los proveedores, participantes, postores y contratistas. </w:t>
      </w:r>
    </w:p>
    <w:p w:rsidR="005E43B5" w:rsidRPr="00082E4D" w:rsidRDefault="005E43B5" w:rsidP="007E54B7">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16"/>
          <w:szCs w:val="16"/>
          <w:lang w:val="es-ES_tradnl"/>
        </w:rPr>
      </w:pPr>
      <w:r w:rsidRPr="00082E4D">
        <w:rPr>
          <w:i/>
          <w:iCs/>
          <w:sz w:val="16"/>
          <w:szCs w:val="16"/>
          <w:lang w:val="es-ES_tradnl"/>
        </w:rPr>
        <w:t>El Tribunal impondrá la sanción administrativa de inhabilitación temporal o definitiva a los proveedores, participantes, postores y/o contratistas que:</w:t>
      </w:r>
    </w:p>
    <w:p w:rsidR="005E43B5" w:rsidRPr="00082E4D" w:rsidRDefault="005E43B5" w:rsidP="007E54B7">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16"/>
          <w:szCs w:val="16"/>
          <w:lang w:val="es-ES_tradnl"/>
        </w:rPr>
      </w:pPr>
      <w:r w:rsidRPr="00082E4D">
        <w:rPr>
          <w:i/>
          <w:iCs/>
          <w:sz w:val="16"/>
          <w:szCs w:val="16"/>
          <w:lang w:val="es-ES_tradnl"/>
        </w:rPr>
        <w:t>[…]</w:t>
      </w:r>
    </w:p>
    <w:p w:rsidR="005E43B5" w:rsidRDefault="005E43B5" w:rsidP="007E54B7">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2E4D">
        <w:rPr>
          <w:b/>
          <w:bCs/>
          <w:i/>
          <w:iCs/>
          <w:sz w:val="16"/>
          <w:szCs w:val="16"/>
          <w:lang w:val="es-ES_tradnl"/>
        </w:rPr>
        <w:t xml:space="preserve">1) </w:t>
      </w:r>
      <w:r w:rsidRPr="00082E4D">
        <w:rPr>
          <w:i/>
          <w:iCs/>
          <w:sz w:val="16"/>
          <w:szCs w:val="16"/>
          <w:lang w:val="es-ES_tradnl"/>
        </w:rPr>
        <w:t xml:space="preserve">No mantengan su oferta hasta el otorgamiento de la Buena Pro y, de resultar ganadores, hasta la suscripción del contrato; </w:t>
      </w:r>
      <w:r w:rsidRPr="00082E4D">
        <w:rPr>
          <w:b/>
          <w:bCs/>
          <w:i/>
          <w:iCs/>
          <w:sz w:val="16"/>
          <w:szCs w:val="16"/>
          <w:lang w:val="es-ES_tradnl"/>
        </w:rPr>
        <w:t>no suscriban injustificadamente  el contrato, o no reciban injustificadamente la orden de compra o de servicio emitida a su favor;</w:t>
      </w:r>
    </w:p>
  </w:footnote>
  <w:footnote w:id="3">
    <w:p w:rsidR="005E43B5" w:rsidRDefault="005E43B5" w:rsidP="007E54B7">
      <w:pPr>
        <w:pStyle w:val="Textonotapie"/>
      </w:pPr>
      <w:r w:rsidRPr="0087598F">
        <w:rPr>
          <w:rStyle w:val="Refdenotaalpie"/>
          <w:rFonts w:eastAsia="MS Mincho"/>
          <w:i/>
          <w:iCs/>
          <w:sz w:val="18"/>
          <w:szCs w:val="18"/>
        </w:rPr>
        <w:footnoteRef/>
      </w:r>
      <w:r w:rsidRPr="0087598F">
        <w:rPr>
          <w:i/>
          <w:iCs/>
          <w:sz w:val="18"/>
          <w:szCs w:val="18"/>
        </w:rPr>
        <w:t xml:space="preserve"> </w:t>
      </w:r>
      <w:r w:rsidRPr="00635590">
        <w:rPr>
          <w:i/>
          <w:iCs/>
          <w:sz w:val="16"/>
          <w:szCs w:val="16"/>
        </w:rPr>
        <w:t>Nótese, que, de acuerdo a lo establecido en el artículo 138 del Reglamento, tratándose de procesos de Adjudicaciones de Menor Cuantía, distintas a las convocadas para la ejecución y consultoría de obras, el contrato se podrá perfeccionar con la recepción de la orden de compra o de servicio.</w:t>
      </w:r>
    </w:p>
  </w:footnote>
  <w:footnote w:id="4">
    <w:p w:rsidR="005E43B5" w:rsidRDefault="005E43B5" w:rsidP="007E54B7">
      <w:pPr>
        <w:pStyle w:val="Textonotapie"/>
      </w:pPr>
      <w:r w:rsidRPr="00635590">
        <w:rPr>
          <w:rStyle w:val="Refdenotaalpie"/>
          <w:sz w:val="16"/>
          <w:szCs w:val="16"/>
        </w:rPr>
        <w:footnoteRef/>
      </w:r>
      <w:r w:rsidRPr="00635590">
        <w:rPr>
          <w:sz w:val="16"/>
          <w:szCs w:val="16"/>
        </w:rPr>
        <w:t xml:space="preserve"> Acuerdo adoptado, por mayoría, con excepción del Voto en Discordia formulado por el Dr. Derik Latorre Boza, al cual  se adhirió la Dra. Janette Elke Ramírez Maynetto.</w:t>
      </w:r>
    </w:p>
  </w:footnote>
  <w:footnote w:id="5">
    <w:p w:rsidR="005E43B5" w:rsidRPr="00635590" w:rsidRDefault="005E43B5" w:rsidP="007E54B7">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sz w:val="16"/>
          <w:szCs w:val="16"/>
          <w:lang w:val="es-ES_tradnl"/>
        </w:rPr>
      </w:pPr>
      <w:r w:rsidRPr="003C5A67">
        <w:rPr>
          <w:rStyle w:val="Refdenotaalpie"/>
          <w:rFonts w:eastAsia="MS Mincho"/>
          <w:i/>
          <w:iCs/>
          <w:sz w:val="18"/>
          <w:szCs w:val="18"/>
        </w:rPr>
        <w:footnoteRef/>
      </w:r>
      <w:r w:rsidRPr="003C5A67">
        <w:rPr>
          <w:i/>
          <w:iCs/>
          <w:sz w:val="18"/>
          <w:szCs w:val="18"/>
        </w:rPr>
        <w:t xml:space="preserve"> </w:t>
      </w:r>
      <w:r w:rsidRPr="00635590">
        <w:rPr>
          <w:b/>
          <w:bCs/>
          <w:i/>
          <w:iCs/>
          <w:sz w:val="16"/>
          <w:szCs w:val="16"/>
          <w:lang w:val="es-ES_tradnl"/>
        </w:rPr>
        <w:t>Artículo 137.- Consentimiento de la buena pro</w:t>
      </w:r>
    </w:p>
    <w:p w:rsidR="005E43B5" w:rsidRPr="00635590" w:rsidRDefault="005E43B5" w:rsidP="007E54B7">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sz w:val="16"/>
          <w:szCs w:val="16"/>
          <w:lang w:val="es-ES_tradnl"/>
        </w:rPr>
      </w:pPr>
      <w:r w:rsidRPr="00635590">
        <w:rPr>
          <w:b/>
          <w:bCs/>
          <w:i/>
          <w:iCs/>
          <w:sz w:val="16"/>
          <w:szCs w:val="16"/>
          <w:lang w:val="es-ES_tradnl"/>
        </w:rPr>
        <w:t>(…)</w:t>
      </w:r>
    </w:p>
    <w:p w:rsidR="005E43B5" w:rsidRPr="00635590" w:rsidRDefault="005E43B5" w:rsidP="007E54B7">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16"/>
          <w:szCs w:val="16"/>
          <w:lang w:val="es-ES_tradnl"/>
        </w:rPr>
      </w:pPr>
      <w:r w:rsidRPr="00635590">
        <w:rPr>
          <w:i/>
          <w:iCs/>
          <w:sz w:val="16"/>
          <w:szCs w:val="16"/>
          <w:lang w:val="es-ES_tradnl"/>
        </w:rPr>
        <w:t xml:space="preserve">En caso de haberse presentado una sola oferta, el consentimiento de la buena pro se producirá el mismo día de su notificación. </w:t>
      </w:r>
    </w:p>
    <w:p w:rsidR="005E43B5" w:rsidRDefault="005E43B5" w:rsidP="007E54B7">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footnote>
  <w:footnote w:id="6">
    <w:p w:rsidR="005E43B5" w:rsidRPr="00A30C50" w:rsidRDefault="005E43B5" w:rsidP="007E54B7">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16"/>
          <w:szCs w:val="16"/>
          <w:lang w:val="es-ES_tradnl"/>
        </w:rPr>
      </w:pPr>
      <w:r w:rsidRPr="003C5A67">
        <w:rPr>
          <w:rStyle w:val="Refdenotaalpie"/>
          <w:rFonts w:eastAsia="MS Mincho"/>
          <w:i/>
          <w:iCs/>
          <w:sz w:val="18"/>
          <w:szCs w:val="18"/>
        </w:rPr>
        <w:footnoteRef/>
      </w:r>
      <w:r w:rsidRPr="003C5A67">
        <w:rPr>
          <w:i/>
          <w:iCs/>
          <w:sz w:val="18"/>
          <w:szCs w:val="18"/>
        </w:rPr>
        <w:t xml:space="preserve"> </w:t>
      </w:r>
      <w:r w:rsidRPr="00A30C50">
        <w:rPr>
          <w:i/>
          <w:iCs/>
          <w:sz w:val="16"/>
          <w:szCs w:val="16"/>
          <w:lang w:val="es-ES_tradnl"/>
        </w:rPr>
        <w:t xml:space="preserve">A través del </w:t>
      </w:r>
      <w:r w:rsidRPr="00A30C50">
        <w:rPr>
          <w:b/>
          <w:bCs/>
          <w:i/>
          <w:iCs/>
          <w:sz w:val="16"/>
          <w:szCs w:val="16"/>
          <w:lang w:val="es-ES_tradnl"/>
        </w:rPr>
        <w:t>Oficio Nº 1695-2008-MTC/21 del 12 de junio de 2008, notificado el 13 de junio del 2008</w:t>
      </w:r>
      <w:r w:rsidRPr="00A30C50">
        <w:rPr>
          <w:i/>
          <w:iCs/>
          <w:sz w:val="16"/>
          <w:szCs w:val="16"/>
          <w:lang w:val="es-ES_tradnl"/>
        </w:rPr>
        <w:t>, la Entidad cito al Postor ganador de la buena pro para que dicho postor se presente el 26 de junio del mismo año, con la finalidad de suscribir el contrato, documento obrante a folios 494 del expediente administrativo.</w:t>
      </w:r>
    </w:p>
    <w:p w:rsidR="005E43B5" w:rsidRDefault="005E43B5" w:rsidP="007E54B7">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7C6" w:rsidRDefault="005247C6" w:rsidP="005247C6">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5247C6" w:rsidRDefault="005247C6" w:rsidP="005247C6">
    <w:pPr>
      <w:pStyle w:val="Encabezado"/>
      <w:rPr>
        <w:noProof/>
      </w:rPr>
    </w:pPr>
  </w:p>
  <w:p w:rsidR="005247C6" w:rsidRDefault="005247C6" w:rsidP="005247C6">
    <w:pPr>
      <w:pStyle w:val="Encabezado"/>
      <w:rPr>
        <w:noProof/>
      </w:rPr>
    </w:pPr>
  </w:p>
  <w:p w:rsidR="005247C6" w:rsidRDefault="005247C6" w:rsidP="005247C6">
    <w:pPr>
      <w:pStyle w:val="Encabezado"/>
      <w:rPr>
        <w:noProof/>
      </w:rPr>
    </w:pPr>
  </w:p>
  <w:p w:rsidR="005247C6" w:rsidRDefault="005247C6" w:rsidP="005247C6">
    <w:pPr>
      <w:pStyle w:val="Encabezado"/>
      <w:jc w:val="center"/>
    </w:pPr>
    <w:r>
      <w:rPr>
        <w:rFonts w:ascii="Monotype Corsiva" w:hAnsi="Monotype Corsiva"/>
        <w:b/>
        <w:sz w:val="44"/>
        <w:szCs w:val="44"/>
      </w:rPr>
      <w:t xml:space="preserve">Resolución Nº   </w:t>
    </w:r>
    <w:r>
      <w:rPr>
        <w:rFonts w:ascii="Tahoma" w:hAnsi="Tahoma" w:cs="Tahoma"/>
        <w:b/>
        <w:sz w:val="44"/>
        <w:szCs w:val="44"/>
      </w:rPr>
      <w:t>760-2011-TC-S1</w:t>
    </w:r>
  </w:p>
  <w:p w:rsidR="005247C6" w:rsidRDefault="005247C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F7077"/>
    <w:multiLevelType w:val="singleLevel"/>
    <w:tmpl w:val="ACEC5FD8"/>
    <w:lvl w:ilvl="0">
      <w:start w:val="1"/>
      <w:numFmt w:val="lowerLetter"/>
      <w:lvlText w:val="%1)"/>
      <w:lvlJc w:val="left"/>
      <w:pPr>
        <w:tabs>
          <w:tab w:val="num" w:pos="1211"/>
        </w:tabs>
        <w:ind w:left="1211" w:hanging="360"/>
      </w:pPr>
    </w:lvl>
  </w:abstractNum>
  <w:abstractNum w:abstractNumId="1">
    <w:nsid w:val="04D45921"/>
    <w:multiLevelType w:val="hybridMultilevel"/>
    <w:tmpl w:val="E84420D8"/>
    <w:lvl w:ilvl="0" w:tplc="C3401FD4">
      <w:start w:val="1"/>
      <w:numFmt w:val="decimal"/>
      <w:lvlText w:val="%1."/>
      <w:lvlJc w:val="left"/>
      <w:pPr>
        <w:tabs>
          <w:tab w:val="num" w:pos="900"/>
        </w:tabs>
        <w:ind w:left="900"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43B6FCF6">
      <w:start w:val="1"/>
      <w:numFmt w:val="decimal"/>
      <w:lvlText w:val="%4."/>
      <w:lvlJc w:val="left"/>
      <w:pPr>
        <w:tabs>
          <w:tab w:val="num" w:pos="1080"/>
        </w:tabs>
        <w:ind w:left="1080" w:hanging="360"/>
      </w:pPr>
      <w:rPr>
        <w:b/>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058F7D1A"/>
    <w:multiLevelType w:val="multilevel"/>
    <w:tmpl w:val="67F22CE8"/>
    <w:lvl w:ilvl="0">
      <w:start w:val="1"/>
      <w:numFmt w:val="decimal"/>
      <w:lvlText w:val="%1."/>
      <w:lvlJc w:val="left"/>
      <w:pPr>
        <w:tabs>
          <w:tab w:val="num" w:pos="360"/>
        </w:tabs>
        <w:ind w:left="360" w:hanging="360"/>
      </w:pPr>
      <w:rPr>
        <w:i w:val="0"/>
      </w:rPr>
    </w:lvl>
    <w:lvl w:ilvl="1">
      <w:start w:val="1"/>
      <w:numFmt w:val="decimal"/>
      <w:isLgl/>
      <w:lvlText w:val="%1.%2."/>
      <w:lvlJc w:val="left"/>
      <w:pPr>
        <w:tabs>
          <w:tab w:val="num" w:pos="1137"/>
        </w:tabs>
        <w:ind w:left="1137" w:hanging="570"/>
      </w:pPr>
      <w:rPr>
        <w:b/>
        <w:bCs/>
      </w:rPr>
    </w:lvl>
    <w:lvl w:ilvl="2">
      <w:start w:val="1"/>
      <w:numFmt w:val="decimal"/>
      <w:isLgl/>
      <w:lvlText w:val="%1.%2.%3."/>
      <w:lvlJc w:val="left"/>
      <w:pPr>
        <w:tabs>
          <w:tab w:val="num" w:pos="1854"/>
        </w:tabs>
        <w:ind w:left="1854" w:hanging="720"/>
      </w:pPr>
      <w:rPr>
        <w:b/>
        <w:bCs/>
      </w:rPr>
    </w:lvl>
    <w:lvl w:ilvl="3">
      <w:start w:val="1"/>
      <w:numFmt w:val="decimal"/>
      <w:isLgl/>
      <w:lvlText w:val="%1.%2.%3.%4."/>
      <w:lvlJc w:val="left"/>
      <w:pPr>
        <w:tabs>
          <w:tab w:val="num" w:pos="2421"/>
        </w:tabs>
        <w:ind w:left="2421" w:hanging="720"/>
      </w:pPr>
      <w:rPr>
        <w:b/>
        <w:bCs/>
      </w:rPr>
    </w:lvl>
    <w:lvl w:ilvl="4">
      <w:start w:val="1"/>
      <w:numFmt w:val="decimal"/>
      <w:isLgl/>
      <w:lvlText w:val="%1.%2.%3.%4.%5."/>
      <w:lvlJc w:val="left"/>
      <w:pPr>
        <w:tabs>
          <w:tab w:val="num" w:pos="3348"/>
        </w:tabs>
        <w:ind w:left="3348" w:hanging="1080"/>
      </w:pPr>
      <w:rPr>
        <w:b/>
        <w:bCs/>
      </w:rPr>
    </w:lvl>
    <w:lvl w:ilvl="5">
      <w:start w:val="1"/>
      <w:numFmt w:val="decimal"/>
      <w:isLgl/>
      <w:lvlText w:val="%1.%2.%3.%4.%5.%6."/>
      <w:lvlJc w:val="left"/>
      <w:pPr>
        <w:tabs>
          <w:tab w:val="num" w:pos="3915"/>
        </w:tabs>
        <w:ind w:left="3915" w:hanging="1080"/>
      </w:pPr>
      <w:rPr>
        <w:b/>
        <w:bCs/>
      </w:rPr>
    </w:lvl>
    <w:lvl w:ilvl="6">
      <w:start w:val="1"/>
      <w:numFmt w:val="decimal"/>
      <w:isLgl/>
      <w:lvlText w:val="%1.%2.%3.%4.%5.%6.%7."/>
      <w:lvlJc w:val="left"/>
      <w:pPr>
        <w:tabs>
          <w:tab w:val="num" w:pos="4842"/>
        </w:tabs>
        <w:ind w:left="4842" w:hanging="1440"/>
      </w:pPr>
      <w:rPr>
        <w:b/>
        <w:bCs/>
      </w:rPr>
    </w:lvl>
    <w:lvl w:ilvl="7">
      <w:start w:val="1"/>
      <w:numFmt w:val="decimal"/>
      <w:isLgl/>
      <w:lvlText w:val="%1.%2.%3.%4.%5.%6.%7.%8."/>
      <w:lvlJc w:val="left"/>
      <w:pPr>
        <w:tabs>
          <w:tab w:val="num" w:pos="5409"/>
        </w:tabs>
        <w:ind w:left="5409" w:hanging="1440"/>
      </w:pPr>
      <w:rPr>
        <w:b/>
        <w:bCs/>
      </w:rPr>
    </w:lvl>
    <w:lvl w:ilvl="8">
      <w:start w:val="1"/>
      <w:numFmt w:val="decimal"/>
      <w:isLgl/>
      <w:lvlText w:val="%1.%2.%3.%4.%5.%6.%7.%8.%9."/>
      <w:lvlJc w:val="left"/>
      <w:pPr>
        <w:tabs>
          <w:tab w:val="num" w:pos="6336"/>
        </w:tabs>
        <w:ind w:left="6336" w:hanging="1800"/>
      </w:pPr>
      <w:rPr>
        <w:b/>
        <w:bCs/>
      </w:rPr>
    </w:lvl>
  </w:abstractNum>
  <w:abstractNum w:abstractNumId="3">
    <w:nsid w:val="0F4D3D4C"/>
    <w:multiLevelType w:val="hybridMultilevel"/>
    <w:tmpl w:val="9EEC6CE4"/>
    <w:lvl w:ilvl="0" w:tplc="0C0A0019">
      <w:start w:val="1"/>
      <w:numFmt w:val="lowerLetter"/>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4">
    <w:nsid w:val="117F5EDD"/>
    <w:multiLevelType w:val="hybridMultilevel"/>
    <w:tmpl w:val="F982862C"/>
    <w:lvl w:ilvl="0" w:tplc="0C0A001B">
      <w:start w:val="1"/>
      <w:numFmt w:val="lowerRoman"/>
      <w:lvlText w:val="%1."/>
      <w:lvlJc w:val="right"/>
      <w:pPr>
        <w:ind w:left="2138" w:hanging="360"/>
      </w:pPr>
    </w:lvl>
    <w:lvl w:ilvl="1" w:tplc="0C0A0019">
      <w:start w:val="1"/>
      <w:numFmt w:val="lowerLetter"/>
      <w:lvlText w:val="%2."/>
      <w:lvlJc w:val="left"/>
      <w:pPr>
        <w:ind w:left="2858" w:hanging="360"/>
      </w:pPr>
    </w:lvl>
    <w:lvl w:ilvl="2" w:tplc="0C0A001B">
      <w:start w:val="1"/>
      <w:numFmt w:val="lowerRoman"/>
      <w:lvlText w:val="%3."/>
      <w:lvlJc w:val="right"/>
      <w:pPr>
        <w:ind w:left="3578" w:hanging="180"/>
      </w:pPr>
    </w:lvl>
    <w:lvl w:ilvl="3" w:tplc="0C0A000F">
      <w:start w:val="1"/>
      <w:numFmt w:val="decimal"/>
      <w:lvlText w:val="%4."/>
      <w:lvlJc w:val="left"/>
      <w:pPr>
        <w:ind w:left="4298" w:hanging="360"/>
      </w:pPr>
    </w:lvl>
    <w:lvl w:ilvl="4" w:tplc="0C0A0019">
      <w:start w:val="1"/>
      <w:numFmt w:val="lowerLetter"/>
      <w:lvlText w:val="%5."/>
      <w:lvlJc w:val="left"/>
      <w:pPr>
        <w:ind w:left="5018" w:hanging="360"/>
      </w:pPr>
    </w:lvl>
    <w:lvl w:ilvl="5" w:tplc="0C0A001B">
      <w:start w:val="1"/>
      <w:numFmt w:val="lowerRoman"/>
      <w:lvlText w:val="%6."/>
      <w:lvlJc w:val="right"/>
      <w:pPr>
        <w:ind w:left="5738" w:hanging="180"/>
      </w:pPr>
    </w:lvl>
    <w:lvl w:ilvl="6" w:tplc="0C0A000F">
      <w:start w:val="1"/>
      <w:numFmt w:val="decimal"/>
      <w:lvlText w:val="%7."/>
      <w:lvlJc w:val="left"/>
      <w:pPr>
        <w:ind w:left="6458" w:hanging="360"/>
      </w:pPr>
    </w:lvl>
    <w:lvl w:ilvl="7" w:tplc="0C0A0019">
      <w:start w:val="1"/>
      <w:numFmt w:val="lowerLetter"/>
      <w:lvlText w:val="%8."/>
      <w:lvlJc w:val="left"/>
      <w:pPr>
        <w:ind w:left="7178" w:hanging="360"/>
      </w:pPr>
    </w:lvl>
    <w:lvl w:ilvl="8" w:tplc="0C0A001B">
      <w:start w:val="1"/>
      <w:numFmt w:val="lowerRoman"/>
      <w:lvlText w:val="%9."/>
      <w:lvlJc w:val="right"/>
      <w:pPr>
        <w:ind w:left="7898" w:hanging="180"/>
      </w:pPr>
    </w:lvl>
  </w:abstractNum>
  <w:abstractNum w:abstractNumId="5">
    <w:nsid w:val="1FE673B8"/>
    <w:multiLevelType w:val="hybridMultilevel"/>
    <w:tmpl w:val="483A5568"/>
    <w:lvl w:ilvl="0" w:tplc="0C0A0019">
      <w:start w:val="1"/>
      <w:numFmt w:val="lowerLetter"/>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6">
    <w:nsid w:val="2A604CF2"/>
    <w:multiLevelType w:val="hybridMultilevel"/>
    <w:tmpl w:val="505C682E"/>
    <w:lvl w:ilvl="0" w:tplc="36582308">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82365F1"/>
    <w:multiLevelType w:val="hybridMultilevel"/>
    <w:tmpl w:val="798A2314"/>
    <w:lvl w:ilvl="0" w:tplc="FB2ECA10">
      <w:start w:val="1"/>
      <w:numFmt w:val="decimal"/>
      <w:lvlText w:val="%1."/>
      <w:lvlJc w:val="left"/>
      <w:pPr>
        <w:tabs>
          <w:tab w:val="num" w:pos="454"/>
        </w:tabs>
        <w:ind w:left="454" w:hanging="454"/>
      </w:pPr>
      <w:rPr>
        <w:rFonts w:ascii="Tahoma" w:hAnsi="Tahoma" w:cs="Tahoma" w:hint="default"/>
        <w:b/>
        <w:bCs/>
        <w:i w:val="0"/>
        <w:iCs w:val="0"/>
        <w:shadow/>
        <w:color w:val="auto"/>
        <w:sz w:val="20"/>
        <w:szCs w:val="20"/>
      </w:rPr>
    </w:lvl>
    <w:lvl w:ilvl="1" w:tplc="0C0A0017">
      <w:start w:val="1"/>
      <w:numFmt w:val="lowerLetter"/>
      <w:lvlText w:val="%2)"/>
      <w:lvlJc w:val="left"/>
      <w:pPr>
        <w:tabs>
          <w:tab w:val="num" w:pos="1174"/>
        </w:tabs>
        <w:ind w:left="1174" w:hanging="720"/>
      </w:pPr>
      <w:rPr>
        <w:rFonts w:hint="default"/>
        <w:b/>
        <w:bCs/>
      </w:rPr>
    </w:lvl>
    <w:lvl w:ilvl="2" w:tplc="3C66648A">
      <w:numFmt w:val="none"/>
      <w:lvlText w:val=""/>
      <w:lvlJc w:val="left"/>
      <w:pPr>
        <w:tabs>
          <w:tab w:val="num" w:pos="360"/>
        </w:tabs>
      </w:pPr>
    </w:lvl>
    <w:lvl w:ilvl="3" w:tplc="6DEC8E5C">
      <w:numFmt w:val="none"/>
      <w:lvlText w:val=""/>
      <w:lvlJc w:val="left"/>
      <w:pPr>
        <w:tabs>
          <w:tab w:val="num" w:pos="360"/>
        </w:tabs>
      </w:pPr>
    </w:lvl>
    <w:lvl w:ilvl="4" w:tplc="EC24C5A0">
      <w:numFmt w:val="none"/>
      <w:lvlText w:val=""/>
      <w:lvlJc w:val="left"/>
      <w:pPr>
        <w:tabs>
          <w:tab w:val="num" w:pos="360"/>
        </w:tabs>
      </w:pPr>
    </w:lvl>
    <w:lvl w:ilvl="5" w:tplc="35B25B32">
      <w:numFmt w:val="none"/>
      <w:lvlText w:val=""/>
      <w:lvlJc w:val="left"/>
      <w:pPr>
        <w:tabs>
          <w:tab w:val="num" w:pos="360"/>
        </w:tabs>
      </w:pPr>
    </w:lvl>
    <w:lvl w:ilvl="6" w:tplc="2174A338">
      <w:numFmt w:val="none"/>
      <w:lvlText w:val=""/>
      <w:lvlJc w:val="left"/>
      <w:pPr>
        <w:tabs>
          <w:tab w:val="num" w:pos="360"/>
        </w:tabs>
      </w:pPr>
    </w:lvl>
    <w:lvl w:ilvl="7" w:tplc="409871A0">
      <w:numFmt w:val="none"/>
      <w:lvlText w:val=""/>
      <w:lvlJc w:val="left"/>
      <w:pPr>
        <w:tabs>
          <w:tab w:val="num" w:pos="360"/>
        </w:tabs>
      </w:pPr>
    </w:lvl>
    <w:lvl w:ilvl="8" w:tplc="99585186">
      <w:numFmt w:val="none"/>
      <w:lvlText w:val=""/>
      <w:lvlJc w:val="left"/>
      <w:pPr>
        <w:tabs>
          <w:tab w:val="num" w:pos="360"/>
        </w:tabs>
      </w:pPr>
    </w:lvl>
  </w:abstractNum>
  <w:abstractNum w:abstractNumId="9">
    <w:nsid w:val="3C321087"/>
    <w:multiLevelType w:val="singleLevel"/>
    <w:tmpl w:val="7C32F5B6"/>
    <w:lvl w:ilvl="0">
      <w:start w:val="1"/>
      <w:numFmt w:val="lowerLetter"/>
      <w:lvlText w:val="%1)"/>
      <w:lvlJc w:val="left"/>
      <w:pPr>
        <w:tabs>
          <w:tab w:val="num" w:pos="1271"/>
        </w:tabs>
        <w:ind w:left="1271" w:hanging="420"/>
      </w:pPr>
    </w:lvl>
  </w:abstractNum>
  <w:abstractNum w:abstractNumId="10">
    <w:nsid w:val="482A3B48"/>
    <w:multiLevelType w:val="hybridMultilevel"/>
    <w:tmpl w:val="D4C66138"/>
    <w:lvl w:ilvl="0" w:tplc="0C0A0001">
      <w:start w:val="1"/>
      <w:numFmt w:val="bullet"/>
      <w:lvlText w:val=""/>
      <w:lvlJc w:val="left"/>
      <w:pPr>
        <w:ind w:left="1440" w:hanging="360"/>
      </w:pPr>
      <w:rPr>
        <w:rFonts w:ascii="Symbol" w:hAnsi="Symbol" w:cs="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1">
    <w:nsid w:val="487C03FD"/>
    <w:multiLevelType w:val="singleLevel"/>
    <w:tmpl w:val="0C0A0003"/>
    <w:lvl w:ilvl="0">
      <w:start w:val="1"/>
      <w:numFmt w:val="bullet"/>
      <w:lvlText w:val=""/>
      <w:lvlJc w:val="left"/>
      <w:pPr>
        <w:tabs>
          <w:tab w:val="num" w:pos="360"/>
        </w:tabs>
        <w:ind w:left="360" w:hanging="360"/>
      </w:pPr>
      <w:rPr>
        <w:rFonts w:ascii="Symbol" w:hAnsi="Symbol" w:cs="Symbol" w:hint="default"/>
      </w:rPr>
    </w:lvl>
  </w:abstractNum>
  <w:abstractNum w:abstractNumId="12">
    <w:nsid w:val="51306FD4"/>
    <w:multiLevelType w:val="hybridMultilevel"/>
    <w:tmpl w:val="D178A520"/>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13">
    <w:nsid w:val="52357D87"/>
    <w:multiLevelType w:val="hybridMultilevel"/>
    <w:tmpl w:val="9C3ACCD8"/>
    <w:lvl w:ilvl="0" w:tplc="07B8825A">
      <w:start w:val="1"/>
      <w:numFmt w:val="decimal"/>
      <w:lvlText w:val="%1."/>
      <w:lvlJc w:val="left"/>
      <w:pPr>
        <w:tabs>
          <w:tab w:val="num" w:pos="360"/>
        </w:tabs>
        <w:ind w:left="360" w:hanging="360"/>
      </w:pPr>
      <w:rPr>
        <w:rFonts w:hint="default"/>
        <w:b/>
        <w:bCs/>
        <w:sz w:val="20"/>
        <w:szCs w:val="20"/>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4">
    <w:nsid w:val="58EA581A"/>
    <w:multiLevelType w:val="hybridMultilevel"/>
    <w:tmpl w:val="60B2E28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5">
    <w:nsid w:val="66A17AC1"/>
    <w:multiLevelType w:val="hybridMultilevel"/>
    <w:tmpl w:val="3F3C6D70"/>
    <w:lvl w:ilvl="0" w:tplc="0C0A0013">
      <w:start w:val="1"/>
      <w:numFmt w:val="upperRoman"/>
      <w:lvlText w:val="%1."/>
      <w:lvlJc w:val="right"/>
      <w:pPr>
        <w:ind w:left="1894" w:hanging="360"/>
      </w:pPr>
    </w:lvl>
    <w:lvl w:ilvl="1" w:tplc="0C0A0019">
      <w:start w:val="1"/>
      <w:numFmt w:val="lowerLetter"/>
      <w:lvlText w:val="%2."/>
      <w:lvlJc w:val="left"/>
      <w:pPr>
        <w:ind w:left="2614" w:hanging="360"/>
      </w:pPr>
    </w:lvl>
    <w:lvl w:ilvl="2" w:tplc="0C0A001B">
      <w:start w:val="1"/>
      <w:numFmt w:val="lowerRoman"/>
      <w:lvlText w:val="%3."/>
      <w:lvlJc w:val="right"/>
      <w:pPr>
        <w:ind w:left="3334" w:hanging="180"/>
      </w:pPr>
    </w:lvl>
    <w:lvl w:ilvl="3" w:tplc="0C0A000F">
      <w:start w:val="1"/>
      <w:numFmt w:val="decimal"/>
      <w:lvlText w:val="%4."/>
      <w:lvlJc w:val="left"/>
      <w:pPr>
        <w:ind w:left="4054" w:hanging="360"/>
      </w:pPr>
    </w:lvl>
    <w:lvl w:ilvl="4" w:tplc="0C0A0019">
      <w:start w:val="1"/>
      <w:numFmt w:val="lowerLetter"/>
      <w:lvlText w:val="%5."/>
      <w:lvlJc w:val="left"/>
      <w:pPr>
        <w:ind w:left="4774" w:hanging="360"/>
      </w:pPr>
    </w:lvl>
    <w:lvl w:ilvl="5" w:tplc="0C0A001B">
      <w:start w:val="1"/>
      <w:numFmt w:val="lowerRoman"/>
      <w:lvlText w:val="%6."/>
      <w:lvlJc w:val="right"/>
      <w:pPr>
        <w:ind w:left="5494" w:hanging="180"/>
      </w:pPr>
    </w:lvl>
    <w:lvl w:ilvl="6" w:tplc="0C0A000F">
      <w:start w:val="1"/>
      <w:numFmt w:val="decimal"/>
      <w:lvlText w:val="%7."/>
      <w:lvlJc w:val="left"/>
      <w:pPr>
        <w:ind w:left="6214" w:hanging="360"/>
      </w:pPr>
    </w:lvl>
    <w:lvl w:ilvl="7" w:tplc="0C0A0019">
      <w:start w:val="1"/>
      <w:numFmt w:val="lowerLetter"/>
      <w:lvlText w:val="%8."/>
      <w:lvlJc w:val="left"/>
      <w:pPr>
        <w:ind w:left="6934" w:hanging="360"/>
      </w:pPr>
    </w:lvl>
    <w:lvl w:ilvl="8" w:tplc="0C0A001B">
      <w:start w:val="1"/>
      <w:numFmt w:val="lowerRoman"/>
      <w:lvlText w:val="%9."/>
      <w:lvlJc w:val="right"/>
      <w:pPr>
        <w:ind w:left="7654" w:hanging="180"/>
      </w:pPr>
    </w:lvl>
  </w:abstractNum>
  <w:abstractNum w:abstractNumId="16">
    <w:nsid w:val="6D88465D"/>
    <w:multiLevelType w:val="hybridMultilevel"/>
    <w:tmpl w:val="4392C8FA"/>
    <w:lvl w:ilvl="0" w:tplc="0C0A0019">
      <w:start w:val="1"/>
      <w:numFmt w:val="lowerLetter"/>
      <w:lvlText w:val="%1."/>
      <w:lvlJc w:val="left"/>
      <w:pPr>
        <w:ind w:left="1500" w:hanging="360"/>
      </w:pPr>
    </w:lvl>
    <w:lvl w:ilvl="1" w:tplc="0C0A0019">
      <w:start w:val="1"/>
      <w:numFmt w:val="lowerLetter"/>
      <w:lvlText w:val="%2."/>
      <w:lvlJc w:val="left"/>
      <w:pPr>
        <w:ind w:left="2220" w:hanging="360"/>
      </w:pPr>
    </w:lvl>
    <w:lvl w:ilvl="2" w:tplc="0C0A001B">
      <w:start w:val="1"/>
      <w:numFmt w:val="lowerRoman"/>
      <w:lvlText w:val="%3."/>
      <w:lvlJc w:val="right"/>
      <w:pPr>
        <w:ind w:left="2940" w:hanging="180"/>
      </w:pPr>
    </w:lvl>
    <w:lvl w:ilvl="3" w:tplc="0C0A000F">
      <w:start w:val="1"/>
      <w:numFmt w:val="decimal"/>
      <w:lvlText w:val="%4."/>
      <w:lvlJc w:val="left"/>
      <w:pPr>
        <w:ind w:left="3660" w:hanging="360"/>
      </w:pPr>
    </w:lvl>
    <w:lvl w:ilvl="4" w:tplc="0C0A0019">
      <w:start w:val="1"/>
      <w:numFmt w:val="lowerLetter"/>
      <w:lvlText w:val="%5."/>
      <w:lvlJc w:val="left"/>
      <w:pPr>
        <w:ind w:left="4380" w:hanging="360"/>
      </w:pPr>
    </w:lvl>
    <w:lvl w:ilvl="5" w:tplc="0C0A001B">
      <w:start w:val="1"/>
      <w:numFmt w:val="lowerRoman"/>
      <w:lvlText w:val="%6."/>
      <w:lvlJc w:val="right"/>
      <w:pPr>
        <w:ind w:left="5100" w:hanging="180"/>
      </w:pPr>
    </w:lvl>
    <w:lvl w:ilvl="6" w:tplc="0C0A000F">
      <w:start w:val="1"/>
      <w:numFmt w:val="decimal"/>
      <w:lvlText w:val="%7."/>
      <w:lvlJc w:val="left"/>
      <w:pPr>
        <w:ind w:left="5820" w:hanging="360"/>
      </w:pPr>
    </w:lvl>
    <w:lvl w:ilvl="7" w:tplc="0C0A0019">
      <w:start w:val="1"/>
      <w:numFmt w:val="lowerLetter"/>
      <w:lvlText w:val="%8."/>
      <w:lvlJc w:val="left"/>
      <w:pPr>
        <w:ind w:left="6540" w:hanging="360"/>
      </w:pPr>
    </w:lvl>
    <w:lvl w:ilvl="8" w:tplc="0C0A001B">
      <w:start w:val="1"/>
      <w:numFmt w:val="lowerRoman"/>
      <w:lvlText w:val="%9."/>
      <w:lvlJc w:val="right"/>
      <w:pPr>
        <w:ind w:left="7260" w:hanging="180"/>
      </w:pPr>
    </w:lvl>
  </w:abstractNum>
  <w:abstractNum w:abstractNumId="17">
    <w:nsid w:val="7FEB3848"/>
    <w:multiLevelType w:val="hybridMultilevel"/>
    <w:tmpl w:val="E2682B74"/>
    <w:lvl w:ilvl="0" w:tplc="801E9D58">
      <w:start w:val="1"/>
      <w:numFmt w:val="decimal"/>
      <w:lvlText w:val="%1."/>
      <w:lvlJc w:val="left"/>
      <w:pPr>
        <w:tabs>
          <w:tab w:val="num" w:pos="720"/>
        </w:tabs>
        <w:ind w:left="720" w:hanging="360"/>
      </w:pPr>
      <w:rPr>
        <w:b/>
        <w:bCs/>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
  </w:num>
  <w:num w:numId="4">
    <w:abstractNumId w:val="5"/>
  </w:num>
  <w:num w:numId="5">
    <w:abstractNumId w:val="12"/>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9"/>
    <w:lvlOverride w:ilvl="0">
      <w:startOverride w:val="1"/>
    </w:lvlOverride>
  </w:num>
  <w:num w:numId="12">
    <w:abstractNumId w:val="0"/>
    <w:lvlOverride w:ilvl="0">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5"/>
  </w:num>
  <w:num w:numId="16">
    <w:abstractNumId w:val="4"/>
  </w:num>
  <w:num w:numId="17">
    <w:abstractNumId w:val="13"/>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7E54B7"/>
    <w:rsid w:val="00015697"/>
    <w:rsid w:val="00281177"/>
    <w:rsid w:val="00364987"/>
    <w:rsid w:val="003B68A9"/>
    <w:rsid w:val="00406DD2"/>
    <w:rsid w:val="005247C6"/>
    <w:rsid w:val="005319C9"/>
    <w:rsid w:val="005E43B5"/>
    <w:rsid w:val="0066645E"/>
    <w:rsid w:val="006703F3"/>
    <w:rsid w:val="006A6615"/>
    <w:rsid w:val="007E54B7"/>
    <w:rsid w:val="008066AC"/>
    <w:rsid w:val="009223B1"/>
    <w:rsid w:val="0096071E"/>
    <w:rsid w:val="00B320C8"/>
    <w:rsid w:val="00C779B6"/>
    <w:rsid w:val="00DD2AC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4B7"/>
    <w:rPr>
      <w:rFonts w:ascii="Calibri" w:eastAsia="Calibri" w:hAnsi="Calibri" w:cs="Times New Roman"/>
    </w:rPr>
  </w:style>
  <w:style w:type="paragraph" w:styleId="Ttulo2">
    <w:name w:val="heading 2"/>
    <w:basedOn w:val="Normal"/>
    <w:next w:val="Normal"/>
    <w:link w:val="Ttulo2Car"/>
    <w:qFormat/>
    <w:rsid w:val="007E54B7"/>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7E54B7"/>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7E54B7"/>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7E54B7"/>
    <w:rPr>
      <w:rFonts w:ascii="Arial" w:eastAsia="Calibri" w:hAnsi="Arial" w:cs="Arial"/>
      <w:b/>
      <w:bCs/>
      <w:sz w:val="26"/>
      <w:szCs w:val="26"/>
    </w:rPr>
  </w:style>
  <w:style w:type="paragraph" w:styleId="Textoindependiente3">
    <w:name w:val="Body Text 3"/>
    <w:basedOn w:val="Normal"/>
    <w:link w:val="Textoindependiente3Car"/>
    <w:semiHidden/>
    <w:unhideWhenUsed/>
    <w:rsid w:val="007E54B7"/>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7E54B7"/>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7E54B7"/>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7E54B7"/>
    <w:pPr>
      <w:tabs>
        <w:tab w:val="center" w:pos="4252"/>
        <w:tab w:val="right" w:pos="8504"/>
      </w:tabs>
    </w:pPr>
  </w:style>
  <w:style w:type="character" w:customStyle="1" w:styleId="PiedepginaCar">
    <w:name w:val="Pie de página Car"/>
    <w:basedOn w:val="Fuentedeprrafopredeter"/>
    <w:link w:val="Piedepgina"/>
    <w:uiPriority w:val="99"/>
    <w:rsid w:val="007E54B7"/>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
    <w:basedOn w:val="Normal"/>
    <w:link w:val="TextonotapieCar"/>
    <w:uiPriority w:val="99"/>
    <w:rsid w:val="007E54B7"/>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7E54B7"/>
    <w:rPr>
      <w:rFonts w:ascii="Tahoma" w:eastAsia="Calibri" w:hAnsi="Tahoma" w:cs="Tahoma"/>
      <w:sz w:val="20"/>
      <w:szCs w:val="20"/>
    </w:rPr>
  </w:style>
  <w:style w:type="character" w:styleId="Refdenotaalpie">
    <w:name w:val="footnote reference"/>
    <w:basedOn w:val="Fuentedeprrafopredeter"/>
    <w:uiPriority w:val="99"/>
    <w:semiHidden/>
    <w:rsid w:val="007E54B7"/>
    <w:rPr>
      <w:vertAlign w:val="superscript"/>
    </w:rPr>
  </w:style>
  <w:style w:type="paragraph" w:styleId="Textoindependiente">
    <w:name w:val="Body Text"/>
    <w:basedOn w:val="Normal"/>
    <w:link w:val="TextoindependienteCar"/>
    <w:uiPriority w:val="99"/>
    <w:semiHidden/>
    <w:unhideWhenUsed/>
    <w:rsid w:val="007E54B7"/>
    <w:pPr>
      <w:spacing w:after="120"/>
    </w:pPr>
  </w:style>
  <w:style w:type="character" w:customStyle="1" w:styleId="TextoindependienteCar">
    <w:name w:val="Texto independiente Car"/>
    <w:basedOn w:val="Fuentedeprrafopredeter"/>
    <w:link w:val="Textoindependiente"/>
    <w:uiPriority w:val="99"/>
    <w:semiHidden/>
    <w:rsid w:val="007E54B7"/>
    <w:rPr>
      <w:rFonts w:ascii="Calibri" w:eastAsia="Calibri" w:hAnsi="Calibri" w:cs="Times New Roman"/>
    </w:rPr>
  </w:style>
  <w:style w:type="paragraph" w:customStyle="1" w:styleId="Prrafodelista1">
    <w:name w:val="Párrafo de lista1"/>
    <w:basedOn w:val="Normal"/>
    <w:uiPriority w:val="99"/>
    <w:rsid w:val="007E54B7"/>
    <w:pPr>
      <w:spacing w:after="0" w:line="240" w:lineRule="auto"/>
      <w:ind w:left="720"/>
    </w:pPr>
    <w:rPr>
      <w:rFonts w:ascii="Times New Roman" w:hAnsi="Times New Roman"/>
      <w:sz w:val="24"/>
      <w:szCs w:val="24"/>
      <w:lang w:eastAsia="es-ES"/>
    </w:rPr>
  </w:style>
  <w:style w:type="paragraph" w:styleId="Sangradetextonormal">
    <w:name w:val="Body Text Indent"/>
    <w:basedOn w:val="Normal"/>
    <w:link w:val="SangradetextonormalCar"/>
    <w:uiPriority w:val="99"/>
    <w:semiHidden/>
    <w:unhideWhenUsed/>
    <w:rsid w:val="007E54B7"/>
    <w:pPr>
      <w:spacing w:after="120"/>
      <w:ind w:left="283"/>
    </w:pPr>
  </w:style>
  <w:style w:type="character" w:customStyle="1" w:styleId="SangradetextonormalCar">
    <w:name w:val="Sangría de texto normal Car"/>
    <w:basedOn w:val="Fuentedeprrafopredeter"/>
    <w:link w:val="Sangradetextonormal"/>
    <w:uiPriority w:val="99"/>
    <w:semiHidden/>
    <w:rsid w:val="007E54B7"/>
    <w:rPr>
      <w:rFonts w:ascii="Calibri" w:eastAsia="Calibri" w:hAnsi="Calibri" w:cs="Times New Roman"/>
    </w:rPr>
  </w:style>
  <w:style w:type="paragraph" w:styleId="Sinespaciado">
    <w:name w:val="No Spacing"/>
    <w:uiPriority w:val="99"/>
    <w:qFormat/>
    <w:rsid w:val="007E54B7"/>
    <w:pPr>
      <w:spacing w:after="0" w:line="240" w:lineRule="auto"/>
    </w:pPr>
    <w:rPr>
      <w:rFonts w:ascii="Calibri" w:eastAsia="MS Mincho" w:hAnsi="Calibri" w:cs="Calibri"/>
      <w:lang w:eastAsia="es-ES"/>
    </w:rPr>
  </w:style>
  <w:style w:type="paragraph" w:styleId="Encabezado">
    <w:name w:val="header"/>
    <w:aliases w:val="maria,h"/>
    <w:basedOn w:val="Normal"/>
    <w:link w:val="EncabezadoCar"/>
    <w:uiPriority w:val="99"/>
    <w:semiHidden/>
    <w:unhideWhenUsed/>
    <w:rsid w:val="005247C6"/>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5247C6"/>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45845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7</Pages>
  <Words>2535</Words>
  <Characters>13947</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10</cp:revision>
  <cp:lastPrinted>2011-04-28T21:05:00Z</cp:lastPrinted>
  <dcterms:created xsi:type="dcterms:W3CDTF">2011-04-28T20:17:00Z</dcterms:created>
  <dcterms:modified xsi:type="dcterms:W3CDTF">2011-05-12T21:02:00Z</dcterms:modified>
</cp:coreProperties>
</file>